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A5A41">
      <w:pPr>
        <w:spacing w:after="156"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3</w:t>
      </w:r>
    </w:p>
    <w:p w14:paraId="18CACECC">
      <w:pPr>
        <w:spacing w:after="312" w:afterLines="100" w:line="560" w:lineRule="exact"/>
        <w:ind w:firstLine="0" w:firstLineChars="0"/>
        <w:jc w:val="center"/>
        <w:rPr>
          <w:rFonts w:hint="default"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新疆农业大学</w:t>
      </w:r>
      <w:r>
        <w:rPr>
          <w:rFonts w:hint="eastAsia" w:ascii="方正小标宋简体" w:eastAsia="方正小标宋简体" w:cs="Times New Roman"/>
          <w:sz w:val="44"/>
          <w:szCs w:val="44"/>
        </w:rPr>
        <w:t>实验室分类参照</w:t>
      </w:r>
      <w:r>
        <w:rPr>
          <w:rFonts w:hint="eastAsia" w:ascii="方正小标宋简体" w:eastAsia="方正小标宋简体" w:cs="Times New Roman"/>
          <w:sz w:val="44"/>
          <w:szCs w:val="44"/>
          <w:lang w:val="en-US" w:eastAsia="zh-CN"/>
        </w:rPr>
        <w:t>及管理要点表</w:t>
      </w:r>
    </w:p>
    <w:tbl>
      <w:tblPr>
        <w:tblStyle w:val="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3"/>
        <w:gridCol w:w="935"/>
        <w:gridCol w:w="3"/>
        <w:gridCol w:w="5145"/>
        <w:gridCol w:w="7329"/>
        <w:gridCol w:w="6"/>
      </w:tblGrid>
      <w:tr w14:paraId="04D7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1" w:type="pct"/>
            <w:vAlign w:val="center"/>
          </w:tcPr>
          <w:p w14:paraId="235DB97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黑体" w:cs="Times New Roman"/>
                <w:kern w:val="0"/>
                <w:szCs w:val="24"/>
              </w:rPr>
            </w:pPr>
            <w:r>
              <w:rPr>
                <w:rFonts w:eastAsia="黑体" w:cs="Times New Roman"/>
                <w:kern w:val="0"/>
                <w:szCs w:val="24"/>
              </w:rPr>
              <w:t>序号</w:t>
            </w:r>
          </w:p>
        </w:tc>
        <w:tc>
          <w:tcPr>
            <w:tcW w:w="331" w:type="pct"/>
            <w:gridSpan w:val="2"/>
            <w:vAlign w:val="center"/>
          </w:tcPr>
          <w:p w14:paraId="6AFAEE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黑体" w:cs="Times New Roman"/>
                <w:kern w:val="0"/>
                <w:szCs w:val="24"/>
              </w:rPr>
            </w:pPr>
            <w:r>
              <w:rPr>
                <w:rFonts w:eastAsia="黑体" w:cs="Times New Roman"/>
                <w:kern w:val="0"/>
                <w:szCs w:val="24"/>
              </w:rPr>
              <w:t>实验室分类</w:t>
            </w:r>
          </w:p>
        </w:tc>
        <w:tc>
          <w:tcPr>
            <w:tcW w:w="1817" w:type="pct"/>
            <w:gridSpan w:val="2"/>
            <w:vAlign w:val="center"/>
          </w:tcPr>
          <w:p w14:paraId="6F14311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黑体" w:cs="Times New Roman"/>
                <w:kern w:val="0"/>
                <w:szCs w:val="24"/>
              </w:rPr>
            </w:pPr>
            <w:r>
              <w:rPr>
                <w:rFonts w:eastAsia="黑体" w:cs="Times New Roman"/>
                <w:kern w:val="0"/>
                <w:szCs w:val="24"/>
              </w:rPr>
              <w:t>分类参照依据</w:t>
            </w:r>
          </w:p>
        </w:tc>
        <w:tc>
          <w:tcPr>
            <w:tcW w:w="2589" w:type="pct"/>
            <w:gridSpan w:val="2"/>
            <w:vAlign w:val="center"/>
          </w:tcPr>
          <w:p w14:paraId="368EA0A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黑体" w:cs="Times New Roman"/>
                <w:kern w:val="0"/>
                <w:szCs w:val="24"/>
                <w:lang w:val="en-US"/>
              </w:rPr>
            </w:pPr>
            <w:r>
              <w:rPr>
                <w:rFonts w:hint="eastAsia" w:eastAsia="黑体" w:cs="Times New Roman"/>
                <w:kern w:val="0"/>
                <w:szCs w:val="24"/>
                <w:lang w:val="en-US" w:eastAsia="zh-CN"/>
              </w:rPr>
              <w:t>管理要点</w:t>
            </w:r>
          </w:p>
        </w:tc>
      </w:tr>
      <w:tr w14:paraId="14BF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61" w:type="pct"/>
            <w:vAlign w:val="center"/>
          </w:tcPr>
          <w:p w14:paraId="4F9EFDF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eastAsia="仿宋_GB2312" w:cs="Times New Roman"/>
                <w:kern w:val="0"/>
                <w:szCs w:val="24"/>
              </w:rPr>
            </w:pPr>
            <w:r>
              <w:rPr>
                <w:rFonts w:eastAsia="仿宋_GB2312" w:cs="Times New Roman"/>
                <w:kern w:val="0"/>
                <w:szCs w:val="24"/>
              </w:rPr>
              <w:t>1</w:t>
            </w:r>
          </w:p>
        </w:tc>
        <w:tc>
          <w:tcPr>
            <w:tcW w:w="331" w:type="pct"/>
            <w:gridSpan w:val="2"/>
            <w:vAlign w:val="center"/>
          </w:tcPr>
          <w:p w14:paraId="3ACE0EA8">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化学类实验室</w:t>
            </w:r>
          </w:p>
        </w:tc>
        <w:tc>
          <w:tcPr>
            <w:tcW w:w="1817" w:type="pct"/>
            <w:gridSpan w:val="2"/>
            <w:vAlign w:val="center"/>
          </w:tcPr>
          <w:p w14:paraId="4420155D">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主要涉及化学反应和化学品的实验场所。主要危险源有：具有毒害性、易燃易爆性、腐蚀性等属性的危险化学品，以及实验产生的危险废物。</w:t>
            </w:r>
          </w:p>
        </w:tc>
        <w:tc>
          <w:tcPr>
            <w:tcW w:w="2589" w:type="pct"/>
            <w:gridSpan w:val="2"/>
            <w:vAlign w:val="center"/>
          </w:tcPr>
          <w:p w14:paraId="405CE156">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民用爆炸品、易制毒、易制爆等管制类化学品的采购、储存、使用、废弃等全生命周期闭环管理，以及实验室危险废物的规范化收集与处置。</w:t>
            </w:r>
          </w:p>
        </w:tc>
      </w:tr>
      <w:tr w14:paraId="4A73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952" w:hRule="atLeast"/>
        </w:trPr>
        <w:tc>
          <w:tcPr>
            <w:tcW w:w="261" w:type="pct"/>
            <w:vAlign w:val="center"/>
          </w:tcPr>
          <w:p w14:paraId="4A1C760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eastAsia="仿宋_GB2312" w:cs="Times New Roman"/>
                <w:kern w:val="0"/>
                <w:szCs w:val="24"/>
              </w:rPr>
            </w:pPr>
            <w:r>
              <w:rPr>
                <w:rFonts w:eastAsia="仿宋_GB2312" w:cs="Times New Roman"/>
                <w:kern w:val="0"/>
                <w:szCs w:val="24"/>
              </w:rPr>
              <w:t>2</w:t>
            </w:r>
          </w:p>
        </w:tc>
        <w:tc>
          <w:tcPr>
            <w:tcW w:w="331" w:type="pct"/>
            <w:gridSpan w:val="2"/>
            <w:vAlign w:val="center"/>
          </w:tcPr>
          <w:p w14:paraId="522E6898">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生物类实验室</w:t>
            </w:r>
          </w:p>
        </w:tc>
        <w:tc>
          <w:tcPr>
            <w:tcW w:w="1817" w:type="pct"/>
            <w:gridSpan w:val="2"/>
            <w:vAlign w:val="center"/>
          </w:tcPr>
          <w:p w14:paraId="41E3759D">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主要涉及微生物和实验动物的实验场所。主要危险源有：病原微生物、寄生虫、转基因生物、实验动物、实验用传代细胞等。</w:t>
            </w:r>
          </w:p>
        </w:tc>
        <w:tc>
          <w:tcPr>
            <w:tcW w:w="2587" w:type="pct"/>
            <w:vAlign w:val="center"/>
          </w:tcPr>
          <w:p w14:paraId="6D37853A">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开展病原微生物相关研究实验必须在具备相应安全等级的实验场所进行</w:t>
            </w:r>
            <w:r>
              <w:rPr>
                <w:rFonts w:hint="eastAsia" w:eastAsia="仿宋_GB2312" w:cs="Times New Roman"/>
                <w:kern w:val="0"/>
                <w:szCs w:val="24"/>
                <w:lang w:eastAsia="zh-CN"/>
              </w:rPr>
              <w:t>；</w:t>
            </w:r>
            <w:r>
              <w:rPr>
                <w:rFonts w:hint="eastAsia" w:eastAsia="仿宋_GB2312" w:cs="Times New Roman"/>
                <w:kern w:val="0"/>
                <w:szCs w:val="24"/>
              </w:rPr>
              <w:t>实验动物饲育环境及设施应当符合国家相关法规和标准</w:t>
            </w:r>
            <w:r>
              <w:rPr>
                <w:rFonts w:hint="eastAsia" w:eastAsia="仿宋_GB2312" w:cs="Times New Roman"/>
                <w:kern w:val="0"/>
                <w:szCs w:val="24"/>
                <w:lang w:eastAsia="zh-CN"/>
              </w:rPr>
              <w:t>；</w:t>
            </w:r>
            <w:r>
              <w:rPr>
                <w:rFonts w:hint="eastAsia" w:eastAsia="仿宋_GB2312" w:cs="Times New Roman"/>
                <w:kern w:val="0"/>
                <w:szCs w:val="24"/>
              </w:rPr>
              <w:t>采购实验动物应当按照使用许可证许可范围，使用合格的实验动物。</w:t>
            </w:r>
          </w:p>
        </w:tc>
      </w:tr>
      <w:tr w14:paraId="2374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792" w:hRule="atLeast"/>
        </w:trPr>
        <w:tc>
          <w:tcPr>
            <w:tcW w:w="262" w:type="pct"/>
            <w:gridSpan w:val="2"/>
            <w:vAlign w:val="center"/>
          </w:tcPr>
          <w:p w14:paraId="67703A6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eastAsia="仿宋_GB2312" w:cs="Times New Roman"/>
                <w:kern w:val="0"/>
                <w:szCs w:val="24"/>
              </w:rPr>
            </w:pPr>
            <w:r>
              <w:rPr>
                <w:rFonts w:eastAsia="仿宋_GB2312" w:cs="Times New Roman"/>
                <w:kern w:val="0"/>
                <w:szCs w:val="24"/>
              </w:rPr>
              <w:t>3</w:t>
            </w:r>
          </w:p>
        </w:tc>
        <w:tc>
          <w:tcPr>
            <w:tcW w:w="331" w:type="pct"/>
            <w:gridSpan w:val="2"/>
            <w:vAlign w:val="center"/>
          </w:tcPr>
          <w:p w14:paraId="10F90B76">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辐射类实验室</w:t>
            </w:r>
          </w:p>
        </w:tc>
        <w:tc>
          <w:tcPr>
            <w:tcW w:w="1816" w:type="pct"/>
            <w:vAlign w:val="center"/>
          </w:tcPr>
          <w:p w14:paraId="54AB2689">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eastAsia="仿宋_GB2312" w:cs="Times New Roman"/>
                <w:kern w:val="0"/>
                <w:szCs w:val="24"/>
                <w:lang w:eastAsia="zh-CN"/>
              </w:rPr>
            </w:pPr>
            <w:r>
              <w:rPr>
                <w:rFonts w:hint="eastAsia" w:eastAsia="仿宋_GB2312" w:cs="Times New Roman"/>
                <w:kern w:val="0"/>
                <w:szCs w:val="24"/>
              </w:rPr>
              <w:t>主要涉及储存、使用放射源、放射性材料或射线设备等的实验场所</w:t>
            </w:r>
            <w:r>
              <w:rPr>
                <w:rFonts w:hint="eastAsia" w:eastAsia="仿宋_GB2312" w:cs="Times New Roman"/>
                <w:kern w:val="0"/>
                <w:szCs w:val="24"/>
                <w:lang w:eastAsia="zh-CN"/>
              </w:rPr>
              <w:t>。</w:t>
            </w:r>
            <w:r>
              <w:rPr>
                <w:rFonts w:hint="eastAsia" w:eastAsia="仿宋_GB2312" w:cs="Times New Roman"/>
                <w:kern w:val="0"/>
                <w:szCs w:val="24"/>
              </w:rPr>
              <w:t>主要危险源有：放射源设备、射线设备、放射性材料等。</w:t>
            </w:r>
          </w:p>
        </w:tc>
        <w:tc>
          <w:tcPr>
            <w:tcW w:w="2587" w:type="pct"/>
            <w:vAlign w:val="center"/>
          </w:tcPr>
          <w:p w14:paraId="48BFEDBD">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储存使用必须在辐射许可证备案范围内，废弃物处置须符合要求，工作人员持证上岗情况并定期体检，射线装置定期安全检查。</w:t>
            </w:r>
          </w:p>
        </w:tc>
      </w:tr>
      <w:tr w14:paraId="54E6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44" w:hRule="atLeast"/>
        </w:trPr>
        <w:tc>
          <w:tcPr>
            <w:tcW w:w="262" w:type="pct"/>
            <w:gridSpan w:val="2"/>
            <w:vAlign w:val="center"/>
          </w:tcPr>
          <w:p w14:paraId="34D0626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eastAsia="仿宋_GB2312" w:cs="Times New Roman"/>
                <w:kern w:val="0"/>
                <w:szCs w:val="24"/>
              </w:rPr>
            </w:pPr>
            <w:r>
              <w:rPr>
                <w:rFonts w:eastAsia="仿宋_GB2312" w:cs="Times New Roman"/>
                <w:kern w:val="0"/>
                <w:szCs w:val="24"/>
              </w:rPr>
              <w:t>4</w:t>
            </w:r>
          </w:p>
        </w:tc>
        <w:tc>
          <w:tcPr>
            <w:tcW w:w="331" w:type="pct"/>
            <w:gridSpan w:val="2"/>
            <w:vAlign w:val="center"/>
          </w:tcPr>
          <w:p w14:paraId="394069C8">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机电类实验室</w:t>
            </w:r>
          </w:p>
        </w:tc>
        <w:tc>
          <w:tcPr>
            <w:tcW w:w="1816" w:type="pct"/>
            <w:vAlign w:val="center"/>
          </w:tcPr>
          <w:p w14:paraId="22029866">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主要涉及机械、电气及仪器仪表等的实验场所</w:t>
            </w:r>
            <w:r>
              <w:rPr>
                <w:rFonts w:hint="eastAsia" w:eastAsia="仿宋_GB2312" w:cs="Times New Roman"/>
                <w:kern w:val="0"/>
                <w:szCs w:val="24"/>
                <w:lang w:eastAsia="zh-CN"/>
              </w:rPr>
              <w:t>，</w:t>
            </w:r>
            <w:r>
              <w:rPr>
                <w:rFonts w:hint="eastAsia" w:eastAsia="仿宋_GB2312" w:cs="Times New Roman"/>
                <w:kern w:val="0"/>
                <w:szCs w:val="24"/>
                <w:lang w:val="en-US" w:eastAsia="zh-CN"/>
              </w:rPr>
              <w:t>以及涉及</w:t>
            </w:r>
            <w:r>
              <w:rPr>
                <w:rFonts w:hint="eastAsia" w:eastAsia="仿宋_GB2312" w:cs="Times New Roman"/>
                <w:kern w:val="0"/>
                <w:szCs w:val="24"/>
              </w:rPr>
              <w:t>起重机械、压力容器（含气体钢瓶）等</w:t>
            </w:r>
            <w:r>
              <w:rPr>
                <w:rFonts w:hint="eastAsia" w:eastAsia="仿宋_GB2312" w:cs="Times New Roman"/>
                <w:kern w:val="0"/>
                <w:szCs w:val="24"/>
                <w:lang w:val="en-US" w:eastAsia="zh-CN"/>
              </w:rPr>
              <w:t>特种设备</w:t>
            </w:r>
            <w:r>
              <w:rPr>
                <w:rFonts w:hint="eastAsia" w:eastAsia="仿宋_GB2312" w:cs="Times New Roman"/>
                <w:kern w:val="0"/>
                <w:szCs w:val="24"/>
              </w:rPr>
              <w:t>的实验场所。</w:t>
            </w:r>
            <w:r>
              <w:rPr>
                <w:rFonts w:hint="eastAsia" w:eastAsia="仿宋_GB2312" w:cs="Times New Roman"/>
                <w:kern w:val="0"/>
                <w:szCs w:val="24"/>
                <w:lang w:val="en-US" w:eastAsia="zh-CN"/>
              </w:rPr>
              <w:t>主要危险源有：</w:t>
            </w:r>
            <w:r>
              <w:rPr>
                <w:rFonts w:hint="eastAsia" w:eastAsia="仿宋_GB2312" w:cs="Times New Roman"/>
                <w:kern w:val="0"/>
                <w:szCs w:val="24"/>
              </w:rPr>
              <w:t>机械加工类设备、高压及大电流设备、激光设备、加热设备等</w:t>
            </w:r>
            <w:r>
              <w:rPr>
                <w:rFonts w:hint="eastAsia" w:eastAsia="仿宋_GB2312" w:cs="Times New Roman"/>
                <w:kern w:val="0"/>
                <w:szCs w:val="24"/>
                <w:lang w:eastAsia="zh-CN"/>
              </w:rPr>
              <w:t>；</w:t>
            </w:r>
            <w:r>
              <w:rPr>
                <w:rFonts w:hint="eastAsia" w:eastAsia="仿宋_GB2312" w:cs="Times New Roman"/>
                <w:kern w:val="0"/>
                <w:szCs w:val="24"/>
              </w:rPr>
              <w:t>起重机械重物坠落、起重机失稳倾斜、挤压、高处跌落等</w:t>
            </w:r>
            <w:r>
              <w:rPr>
                <w:rFonts w:hint="eastAsia" w:eastAsia="仿宋_GB2312" w:cs="Times New Roman"/>
                <w:kern w:val="0"/>
                <w:szCs w:val="24"/>
                <w:lang w:eastAsia="zh-CN"/>
              </w:rPr>
              <w:t>；</w:t>
            </w:r>
            <w:r>
              <w:rPr>
                <w:rFonts w:hint="eastAsia" w:eastAsia="仿宋_GB2312" w:cs="Times New Roman"/>
                <w:kern w:val="0"/>
                <w:szCs w:val="24"/>
              </w:rPr>
              <w:t>压力容器可能因遇热超压、机械损伤、减压阀不合格等造成爆炸或气体外泄等。</w:t>
            </w:r>
          </w:p>
        </w:tc>
        <w:tc>
          <w:tcPr>
            <w:tcW w:w="2587" w:type="pct"/>
            <w:vAlign w:val="center"/>
          </w:tcPr>
          <w:p w14:paraId="7603595E">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加温高温设备、电磁辐射装置等特殊设备及机械、电气、激光、粉尘等的安全管理。根据国家有关部门管理要求保证特种设备安全使用，依法办理使用登记，按照安全技术规范要求定期检验，在安全检验合格有效期届满前1个月向特种设备检验检测机构提出定期检验申请</w:t>
            </w:r>
            <w:r>
              <w:rPr>
                <w:rFonts w:hint="eastAsia" w:eastAsia="仿宋_GB2312" w:cs="Times New Roman"/>
                <w:kern w:val="0"/>
                <w:szCs w:val="24"/>
                <w:lang w:eastAsia="zh-CN"/>
              </w:rPr>
              <w:t>；</w:t>
            </w:r>
            <w:r>
              <w:rPr>
                <w:rFonts w:hint="eastAsia" w:eastAsia="仿宋_GB2312" w:cs="Times New Roman"/>
                <w:kern w:val="0"/>
                <w:szCs w:val="24"/>
              </w:rPr>
              <w:t>建立特种设备安全技术档案</w:t>
            </w:r>
            <w:r>
              <w:rPr>
                <w:rFonts w:hint="eastAsia" w:eastAsia="仿宋_GB2312" w:cs="Times New Roman"/>
                <w:kern w:val="0"/>
                <w:szCs w:val="24"/>
                <w:lang w:eastAsia="zh-CN"/>
              </w:rPr>
              <w:t>；</w:t>
            </w:r>
            <w:r>
              <w:rPr>
                <w:rFonts w:hint="eastAsia" w:eastAsia="仿宋_GB2312" w:cs="Times New Roman"/>
                <w:kern w:val="0"/>
                <w:szCs w:val="24"/>
              </w:rPr>
              <w:t>对在用特种设备的安全附件、安全保护装置、测量调控装置及有关附属仪器仪表进行定期校验、检修</w:t>
            </w:r>
            <w:r>
              <w:rPr>
                <w:rFonts w:hint="eastAsia" w:eastAsia="仿宋_GB2312" w:cs="Times New Roman"/>
                <w:kern w:val="0"/>
                <w:szCs w:val="24"/>
                <w:lang w:eastAsia="zh-CN"/>
              </w:rPr>
              <w:t>；</w:t>
            </w:r>
            <w:r>
              <w:rPr>
                <w:rFonts w:hint="eastAsia" w:eastAsia="仿宋_GB2312" w:cs="Times New Roman"/>
                <w:kern w:val="0"/>
                <w:szCs w:val="24"/>
              </w:rPr>
              <w:t>作业人员持证上岗，制定规范的操作流程，作业过程中发现事故隐患或者其他不安全因素，应当立即报告实验室负责人。</w:t>
            </w:r>
          </w:p>
        </w:tc>
      </w:tr>
      <w:tr w14:paraId="736D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770" w:hRule="atLeast"/>
        </w:trPr>
        <w:tc>
          <w:tcPr>
            <w:tcW w:w="262" w:type="pct"/>
            <w:gridSpan w:val="2"/>
            <w:vAlign w:val="center"/>
          </w:tcPr>
          <w:p w14:paraId="4D8707E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eastAsia="仿宋_GB2312" w:cs="Times New Roman"/>
                <w:kern w:val="0"/>
                <w:szCs w:val="24"/>
              </w:rPr>
            </w:pPr>
            <w:r>
              <w:rPr>
                <w:rFonts w:eastAsia="仿宋_GB2312" w:cs="Times New Roman"/>
                <w:kern w:val="0"/>
                <w:szCs w:val="24"/>
              </w:rPr>
              <w:t>5</w:t>
            </w:r>
          </w:p>
        </w:tc>
        <w:tc>
          <w:tcPr>
            <w:tcW w:w="331" w:type="pct"/>
            <w:gridSpan w:val="2"/>
            <w:vAlign w:val="center"/>
          </w:tcPr>
          <w:p w14:paraId="236740E4">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其他类实验室</w:t>
            </w:r>
          </w:p>
        </w:tc>
        <w:tc>
          <w:tcPr>
            <w:tcW w:w="1816" w:type="pct"/>
            <w:vAlign w:val="center"/>
          </w:tcPr>
          <w:p w14:paraId="12412BEE">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lang w:val="en-US" w:eastAsia="zh-CN"/>
              </w:rPr>
              <w:t>包括</w:t>
            </w:r>
            <w:r>
              <w:rPr>
                <w:rFonts w:hint="eastAsia" w:eastAsia="仿宋_GB2312" w:cs="Times New Roman"/>
                <w:kern w:val="0"/>
                <w:szCs w:val="24"/>
              </w:rPr>
              <w:t>社科类</w:t>
            </w:r>
            <w:r>
              <w:rPr>
                <w:rFonts w:hint="eastAsia" w:eastAsia="仿宋_GB2312" w:cs="Times New Roman"/>
                <w:kern w:val="0"/>
                <w:szCs w:val="24"/>
                <w:lang w:eastAsia="zh-CN"/>
              </w:rPr>
              <w:t>、</w:t>
            </w:r>
            <w:r>
              <w:rPr>
                <w:rFonts w:hint="eastAsia" w:eastAsia="仿宋_GB2312" w:cs="Times New Roman"/>
                <w:kern w:val="0"/>
                <w:szCs w:val="24"/>
                <w:lang w:val="en-US" w:eastAsia="zh-CN"/>
              </w:rPr>
              <w:t>艺术类</w:t>
            </w:r>
            <w:r>
              <w:rPr>
                <w:rFonts w:hint="eastAsia" w:eastAsia="仿宋_GB2312" w:cs="Times New Roman"/>
                <w:kern w:val="0"/>
                <w:szCs w:val="24"/>
              </w:rPr>
              <w:t>专业相关的实验室或实训室。主要危险源有：实验室用水用电安全风险和消防安全风险。</w:t>
            </w:r>
          </w:p>
        </w:tc>
        <w:tc>
          <w:tcPr>
            <w:tcW w:w="2587" w:type="pct"/>
            <w:vAlign w:val="center"/>
          </w:tcPr>
          <w:p w14:paraId="3E57F1B1">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eastAsia="仿宋_GB2312" w:cs="Times New Roman"/>
                <w:kern w:val="0"/>
                <w:szCs w:val="24"/>
              </w:rPr>
            </w:pPr>
            <w:r>
              <w:rPr>
                <w:rFonts w:hint="eastAsia" w:eastAsia="仿宋_GB2312" w:cs="Times New Roman"/>
                <w:kern w:val="0"/>
                <w:szCs w:val="24"/>
              </w:rPr>
              <w:t>规范用水用电和消防安全管理。</w:t>
            </w:r>
          </w:p>
        </w:tc>
      </w:tr>
    </w:tbl>
    <w:p w14:paraId="2E29B26C">
      <w:pPr>
        <w:ind w:left="0" w:leftChars="0" w:firstLine="0" w:firstLineChars="0"/>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B2D5C"/>
    <w:rsid w:val="745B2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Times New Roman" w:hAnsi="Times New Roman" w:eastAsia="仿宋" w:cstheme="minorBidi"/>
      <w:kern w:val="2"/>
      <w:sz w:val="24"/>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table" w:styleId="4">
    <w:name w:val="Table Grid"/>
    <w:basedOn w:val="3"/>
    <w:unhideWhenUsed/>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2025-11-21T10:02:00Z</dcterms:created>
  <dc:creator>慧婷</dc:creator>
  <cp:lastModifiedBy>慧婷</cp:lastModifiedBy>
  <dcterms:modified xsi:type="dcterms:W3CDTF">2025-11-21T10:02:41Z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574FD79779E84B54A8EFB4417FFCDA55_11</vt:lpwstr>
  </property>
  <property fmtid="{D5CDD505-2E9C-101B-9397-08002B2CF9AE}" pid="4" name="KSOTemplateDocerSaveRecord">
    <vt:lpwstr>eyJoZGlkIjoiMGVkNzJiNmMyYTAwYmQ0OTgyMzQ5YTJkZTk4Yzg4YWYiLCJ1c2VySWQiOiIxMTQ5NDY0NjY0In0=</vt:lpwstr>
  </property>
</Properties>
</file>