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20" w:line="1360" w:lineRule="exact"/>
        <w:jc w:val="distribute"/>
        <w:rPr>
          <w:rFonts w:ascii="方正小标宋简体" w:eastAsia="方正小标宋简体"/>
          <w:b w:val="0"/>
          <w:color w:val="FF0000"/>
          <w:sz w:val="112"/>
          <w:szCs w:val="112"/>
        </w:rPr>
      </w:pPr>
      <w:r>
        <w:rPr>
          <w:rStyle w:val="9"/>
          <w:rFonts w:hint="eastAsia" w:ascii="方正小标宋简体" w:eastAsia="方正小标宋简体"/>
          <w:b w:val="0"/>
          <w:color w:val="FF0000"/>
          <w:spacing w:val="51"/>
          <w:w w:val="48"/>
          <w:sz w:val="90"/>
          <w:szCs w:val="90"/>
        </w:rPr>
        <w:t>教育部西南高等学校师资培训中</w:t>
      </w:r>
      <w:r>
        <w:rPr>
          <w:rStyle w:val="9"/>
          <w:rFonts w:hint="eastAsia" w:ascii="方正小标宋简体" w:eastAsia="方正小标宋简体"/>
          <w:b w:val="0"/>
          <w:color w:val="FF0000"/>
          <w:spacing w:val="3"/>
          <w:w w:val="48"/>
          <w:sz w:val="90"/>
          <w:szCs w:val="90"/>
        </w:rPr>
        <w:t>心</w:t>
      </w:r>
    </w:p>
    <w:p>
      <w:pPr>
        <w:spacing w:beforeLines="150"/>
        <w:jc w:val="center"/>
        <w:rPr>
          <w:rFonts w:ascii="方正小标宋简体" w:hAnsi="微软雅黑" w:eastAsia="方正小标宋简体" w:cs="宋体"/>
          <w:bCs/>
          <w:color w:val="000000" w:themeColor="text1"/>
          <w:kern w:val="36"/>
          <w:sz w:val="36"/>
          <w:szCs w:val="36"/>
        </w:rPr>
      </w:pPr>
      <w:r>
        <w:rPr>
          <w:color w:val="000000"/>
          <w:kern w:val="36"/>
          <w:sz w:val="90"/>
          <w:szCs w:val="90"/>
        </w:rPr>
        <w:pict>
          <v:line id="Line 3" o:spid="_x0000_s1026" o:spt="20" style="position:absolute;left:0pt;margin-left:-6.7pt;margin-top:3.2pt;height:0.8pt;width:424.5pt;z-index:251660288;mso-width-relative:page;mso-height-relative:page;" filled="f" stroked="t" coordsize="21600,21600">
            <v:path arrowok="t"/>
            <v:fill on="f" focussize="0,0"/>
            <v:stroke weight="1.75pt" color="#FF0000"/>
            <v:imagedata o:title=""/>
            <o:lock v:ext="edit" aspectratio="f"/>
          </v:line>
        </w:pict>
      </w:r>
      <w:r>
        <w:rPr>
          <w:rFonts w:hint="eastAsia" w:ascii="方正小标宋简体" w:hAnsi="微软雅黑" w:eastAsia="方正小标宋简体" w:cs="宋体"/>
          <w:bCs/>
          <w:color w:val="000000" w:themeColor="text1"/>
          <w:kern w:val="36"/>
          <w:sz w:val="36"/>
          <w:szCs w:val="36"/>
        </w:rPr>
        <w:t>关于举办</w:t>
      </w:r>
      <w:r>
        <w:rPr>
          <w:rFonts w:hint="eastAsia" w:ascii="方正小标宋简体" w:hAnsi="黑体" w:eastAsia="方正小标宋简体" w:cs="宋体"/>
          <w:color w:val="000000" w:themeColor="text1"/>
          <w:kern w:val="0"/>
          <w:sz w:val="36"/>
          <w:szCs w:val="36"/>
        </w:rPr>
        <w:t>高校实验室危险化学品安全管理与</w:t>
      </w:r>
      <w:r>
        <w:rPr>
          <w:rFonts w:hint="eastAsia" w:ascii="方正小标宋简体" w:hAnsi="Calibri" w:eastAsia="方正小标宋简体" w:cs="Calibri"/>
          <w:color w:val="000000" w:themeColor="text1"/>
          <w:kern w:val="0"/>
          <w:sz w:val="36"/>
          <w:szCs w:val="36"/>
        </w:rPr>
        <w:t>应急处置交流研讨会</w:t>
      </w:r>
      <w:r>
        <w:rPr>
          <w:rFonts w:hint="eastAsia" w:ascii="方正小标宋简体" w:hAnsi="微软雅黑" w:eastAsia="方正小标宋简体" w:cs="宋体"/>
          <w:bCs/>
          <w:color w:val="000000" w:themeColor="text1"/>
          <w:kern w:val="36"/>
          <w:sz w:val="36"/>
          <w:szCs w:val="36"/>
        </w:rPr>
        <w:t>的通知</w:t>
      </w:r>
    </w:p>
    <w:p>
      <w:pPr>
        <w:autoSpaceDE w:val="0"/>
        <w:autoSpaceDN w:val="0"/>
        <w:adjustRightInd w:val="0"/>
        <w:spacing w:beforeLines="100" w:line="500" w:lineRule="exact"/>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各有关单位：</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高等学校实验室危险化学品和易燃易爆物品安全管理工作直接关系到广大师生的身体健康和生命安全。为促进高校危险化学品的安全管理工作，加强各高校之间的交流，提高实验室危险化学品安全管理水平和应急能力，教育部西南高等学校师资培训中心决定举办“高校实验室危险化学品安全管理与应急处置交流研讨会”。现将有关事项通知如下：</w:t>
      </w:r>
    </w:p>
    <w:p>
      <w:pPr>
        <w:autoSpaceDE w:val="0"/>
        <w:autoSpaceDN w:val="0"/>
        <w:adjustRightInd w:val="0"/>
        <w:spacing w:line="500" w:lineRule="exact"/>
        <w:ind w:firstLine="602" w:firstLineChars="200"/>
        <w:jc w:val="left"/>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一、会议内容</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1.高校实验室危险化学品和易燃易爆物品管理的风险点和隐患排查方法及应用； </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w:t>
      </w:r>
      <w:r>
        <w:rPr>
          <w:rFonts w:hint="eastAsia" w:ascii="仿宋_GB2312" w:hAnsi="Verdana" w:eastAsia="仿宋_GB2312"/>
          <w:color w:val="000000"/>
          <w:sz w:val="30"/>
          <w:szCs w:val="30"/>
        </w:rPr>
        <w:t>GHS背景下高校实验室危险化学品的标准化管理；</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3.高校实验室危险化学品管理制度与购置管理规范的建设和运行；</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4.高校实验室安全防护、实验室技术安全要点、事故应急处置及自救互救技能教育与培训；</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5.高校实验室危险化学品（剧毒品）和易燃易爆物品安全管理要点及事故应急预案的完善；</w:t>
      </w:r>
    </w:p>
    <w:p>
      <w:pPr>
        <w:autoSpaceDE w:val="0"/>
        <w:autoSpaceDN w:val="0"/>
        <w:adjustRightInd w:val="0"/>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6.典型危险化学品和易燃易爆物品事故分析。</w:t>
      </w:r>
    </w:p>
    <w:p>
      <w:pPr>
        <w:spacing w:line="500" w:lineRule="exact"/>
        <w:ind w:firstLine="590" w:firstLineChars="196"/>
        <w:rPr>
          <w:rFonts w:ascii="仿宋_GB2312" w:hAnsi="黑体" w:eastAsia="仿宋_GB2312"/>
          <w:b/>
          <w:color w:val="000000"/>
          <w:sz w:val="30"/>
          <w:szCs w:val="30"/>
        </w:rPr>
      </w:pPr>
      <w:r>
        <w:rPr>
          <w:rFonts w:hint="eastAsia" w:ascii="仿宋_GB2312" w:hAnsi="黑体" w:eastAsia="仿宋_GB2312"/>
          <w:b/>
          <w:color w:val="000000"/>
          <w:sz w:val="30"/>
          <w:szCs w:val="30"/>
        </w:rPr>
        <w:t>二、参会人员</w:t>
      </w:r>
    </w:p>
    <w:p>
      <w:pPr>
        <w:autoSpaceDE w:val="0"/>
        <w:autoSpaceDN w:val="0"/>
        <w:adjustRightInd w:val="0"/>
        <w:spacing w:line="50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各高校实验室建设与管理处、教务处、保卫处、学工部、研究生部及校办等部门相关负责人；各院（系）主管实验室工作负责人、实验室技术安全负责人、实验教师及实验室工作其他相关人员。</w:t>
      </w:r>
    </w:p>
    <w:p>
      <w:pPr>
        <w:autoSpaceDE w:val="0"/>
        <w:autoSpaceDN w:val="0"/>
        <w:adjustRightInd w:val="0"/>
        <w:spacing w:line="500" w:lineRule="exact"/>
        <w:ind w:firstLine="602" w:firstLineChars="200"/>
        <w:jc w:val="left"/>
        <w:rPr>
          <w:rFonts w:ascii="仿宋_GB2312" w:eastAsia="仿宋_GB2312"/>
          <w:color w:val="000000"/>
          <w:sz w:val="30"/>
          <w:szCs w:val="30"/>
        </w:rPr>
      </w:pPr>
      <w:r>
        <w:rPr>
          <w:rFonts w:hint="eastAsia" w:ascii="仿宋_GB2312" w:hAnsi="黑体" w:eastAsia="仿宋_GB2312" w:cs="仿宋_GB2312"/>
          <w:b/>
          <w:color w:val="000000"/>
          <w:sz w:val="30"/>
          <w:szCs w:val="30"/>
        </w:rPr>
        <w:t>三、时间与地点</w:t>
      </w:r>
      <w:r>
        <w:rPr>
          <w:rFonts w:hint="eastAsia" w:ascii="仿宋_GB2312" w:hAnsi="黑体" w:eastAsia="仿宋_GB2312" w:cs="仿宋_GB2312"/>
          <w:color w:val="000000"/>
          <w:sz w:val="30"/>
          <w:szCs w:val="30"/>
        </w:rPr>
        <w:t>（24日全天报到）</w:t>
      </w:r>
    </w:p>
    <w:p>
      <w:pPr>
        <w:spacing w:line="500" w:lineRule="exact"/>
        <w:ind w:firstLine="1200" w:firstLineChars="400"/>
        <w:rPr>
          <w:rFonts w:ascii="仿宋_GB2312" w:hAnsi="黑体" w:eastAsia="仿宋_GB2312" w:cs="仿宋_GB2312"/>
          <w:sz w:val="30"/>
          <w:szCs w:val="30"/>
        </w:rPr>
      </w:pPr>
      <w:r>
        <w:rPr>
          <w:rFonts w:hint="eastAsia" w:ascii="仿宋_GB2312" w:hAnsi="黑体" w:eastAsia="仿宋_GB2312" w:cs="仿宋_GB2312"/>
          <w:sz w:val="30"/>
          <w:szCs w:val="30"/>
        </w:rPr>
        <w:t>2016年7月24日-29日      乌鲁木齐</w:t>
      </w:r>
    </w:p>
    <w:p>
      <w:pPr>
        <w:spacing w:line="500" w:lineRule="exact"/>
        <w:ind w:firstLine="602" w:firstLineChars="200"/>
        <w:rPr>
          <w:rFonts w:ascii="仿宋_GB2312" w:hAnsi="黑体" w:eastAsia="仿宋_GB2312" w:cs="仿宋_GB2312"/>
          <w:b/>
          <w:sz w:val="30"/>
          <w:szCs w:val="30"/>
        </w:rPr>
      </w:pPr>
      <w:r>
        <w:rPr>
          <w:rFonts w:hint="eastAsia" w:ascii="仿宋_GB2312" w:hAnsi="黑体" w:eastAsia="仿宋_GB2312" w:cs="仿宋_GB2312"/>
          <w:b/>
          <w:sz w:val="30"/>
          <w:szCs w:val="30"/>
        </w:rPr>
        <w:t>四、研讨费用及报名办法</w:t>
      </w:r>
    </w:p>
    <w:p>
      <w:pPr>
        <w:spacing w:line="500" w:lineRule="exact"/>
        <w:ind w:firstLine="630"/>
        <w:jc w:val="left"/>
        <w:rPr>
          <w:rFonts w:ascii="仿宋_GB2312" w:eastAsia="仿宋_GB2312"/>
          <w:color w:val="000000"/>
          <w:sz w:val="30"/>
          <w:szCs w:val="30"/>
        </w:rPr>
      </w:pPr>
      <w:r>
        <w:rPr>
          <w:rFonts w:hint="eastAsia" w:ascii="仿宋_GB2312" w:eastAsia="仿宋_GB2312"/>
          <w:sz w:val="30"/>
          <w:szCs w:val="30"/>
        </w:rPr>
        <w:t>1.研讨费1500元/人，食宿统一安排，费用自理。请各单位接</w:t>
      </w:r>
      <w:r>
        <w:rPr>
          <w:rFonts w:hint="eastAsia" w:ascii="仿宋_GB2312" w:eastAsia="仿宋_GB2312"/>
          <w:color w:val="000000"/>
          <w:sz w:val="30"/>
          <w:szCs w:val="30"/>
        </w:rPr>
        <w:t>此通知后，积极组织有关人员参加，并将填写好的报名表电邮至会务组：</w:t>
      </w:r>
    </w:p>
    <w:p>
      <w:pPr>
        <w:spacing w:line="500" w:lineRule="exact"/>
        <w:ind w:firstLine="630"/>
        <w:rPr>
          <w:rFonts w:ascii="仿宋_GB2312" w:eastAsia="仿宋_GB2312"/>
          <w:sz w:val="30"/>
          <w:szCs w:val="30"/>
        </w:rPr>
      </w:pPr>
      <w:r>
        <w:rPr>
          <w:rFonts w:hint="eastAsia" w:ascii="仿宋_GB2312" w:eastAsia="仿宋_GB2312"/>
          <w:sz w:val="30"/>
          <w:szCs w:val="30"/>
        </w:rPr>
        <w:t>电  话：010-62998336     62998356</w:t>
      </w:r>
    </w:p>
    <w:p>
      <w:pPr>
        <w:spacing w:line="500" w:lineRule="exact"/>
        <w:ind w:firstLine="630"/>
        <w:rPr>
          <w:rFonts w:ascii="仿宋_GB2312" w:eastAsia="仿宋_GB2312"/>
          <w:sz w:val="30"/>
          <w:szCs w:val="30"/>
        </w:rPr>
      </w:pPr>
      <w:r>
        <w:rPr>
          <w:rFonts w:hint="eastAsia" w:ascii="仿宋_GB2312" w:eastAsia="仿宋_GB2312"/>
          <w:sz w:val="30"/>
          <w:szCs w:val="30"/>
        </w:rPr>
        <w:t>传  真：010-62998356</w:t>
      </w:r>
    </w:p>
    <w:p>
      <w:pPr>
        <w:spacing w:line="500" w:lineRule="exact"/>
        <w:ind w:firstLine="630"/>
        <w:jc w:val="left"/>
        <w:rPr>
          <w:rFonts w:ascii="仿宋_GB2312" w:eastAsia="仿宋_GB2312"/>
          <w:sz w:val="30"/>
          <w:szCs w:val="30"/>
        </w:rPr>
      </w:pPr>
      <w:r>
        <w:rPr>
          <w:rFonts w:hint="eastAsia" w:ascii="仿宋_GB2312" w:eastAsia="仿宋_GB2312"/>
          <w:sz w:val="30"/>
          <w:szCs w:val="30"/>
        </w:rPr>
        <w:t>报名邮箱：shizipeixun99@vip.163.com</w:t>
      </w:r>
    </w:p>
    <w:p>
      <w:pPr>
        <w:spacing w:line="500" w:lineRule="exact"/>
        <w:ind w:firstLine="630"/>
        <w:rPr>
          <w:rFonts w:ascii="仿宋_GB2312" w:eastAsia="仿宋_GB2312"/>
          <w:sz w:val="30"/>
          <w:szCs w:val="30"/>
        </w:rPr>
      </w:pPr>
      <w:r>
        <w:rPr>
          <w:rFonts w:hint="eastAsia" w:ascii="仿宋_GB2312" w:eastAsia="仿宋_GB2312"/>
          <w:sz w:val="30"/>
          <w:szCs w:val="30"/>
        </w:rPr>
        <w:t xml:space="preserve">联系人：李永红     荀晓晨     </w:t>
      </w:r>
    </w:p>
    <w:p>
      <w:pPr>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2.教育部西南高等学校师资培训中心会议质量监督电话：023-68252535；</w:t>
      </w:r>
    </w:p>
    <w:p>
      <w:pPr>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3.会务组将根据报名表会议前七天发报到通知，告知具体会议地点、乘车路线、食宿费用等具体事宜。</w:t>
      </w:r>
    </w:p>
    <w:p>
      <w:pPr>
        <w:autoSpaceDE w:val="0"/>
        <w:autoSpaceDN w:val="0"/>
        <w:adjustRightInd w:val="0"/>
        <w:spacing w:line="500" w:lineRule="exact"/>
        <w:ind w:firstLine="602" w:firstLineChars="200"/>
        <w:rPr>
          <w:rFonts w:ascii="仿宋_GB2312" w:hAnsi="黑体" w:eastAsia="仿宋_GB2312" w:cs="楷体_GB2312"/>
          <w:b/>
          <w:kern w:val="0"/>
          <w:sz w:val="30"/>
          <w:szCs w:val="30"/>
        </w:rPr>
      </w:pPr>
      <w:r>
        <w:rPr>
          <w:rFonts w:hint="eastAsia" w:ascii="仿宋_GB2312" w:hAnsi="黑体" w:eastAsia="仿宋_GB2312" w:cs="楷体_GB2312"/>
          <w:b/>
          <w:kern w:val="0"/>
          <w:sz w:val="30"/>
          <w:szCs w:val="30"/>
        </w:rPr>
        <w:t>五、特别声明</w:t>
      </w:r>
    </w:p>
    <w:p>
      <w:pPr>
        <w:autoSpaceDE w:val="0"/>
        <w:autoSpaceDN w:val="0"/>
        <w:adjustRightInd w:val="0"/>
        <w:spacing w:line="500" w:lineRule="exact"/>
        <w:ind w:firstLine="600" w:firstLineChars="200"/>
        <w:rPr>
          <w:rFonts w:ascii="仿宋_GB2312" w:hAnsi="黑体" w:eastAsia="仿宋_GB2312" w:cs="楷体_GB2312"/>
          <w:kern w:val="0"/>
          <w:sz w:val="30"/>
          <w:szCs w:val="30"/>
        </w:rPr>
      </w:pPr>
      <w:r>
        <w:rPr>
          <w:rFonts w:hint="eastAsia" w:ascii="仿宋_GB2312" w:hAnsi="宋体" w:eastAsia="仿宋_GB2312" w:cs="楷体_GB2312"/>
          <w:kern w:val="0"/>
          <w:sz w:val="30"/>
          <w:szCs w:val="30"/>
        </w:rPr>
        <w:t>教育部西南高等学校师资培训中心，创建于1986年，是教育部建立的全国六大地区高校师资培训中心之一。业务上直属教育部人事司领导，行政上隶属西南大学。本中心特设培训质量监督电话：023-68252535。凡使用带“教育部西南高等学校师资培训中心”字样的名义开办培训班及类似的研修班等，培训通知中未公布质量监督电话或与该质量监督电话不符的，均属违规及侵权行为。</w:t>
      </w:r>
    </w:p>
    <w:p>
      <w:pPr>
        <w:autoSpaceDE w:val="0"/>
        <w:autoSpaceDN w:val="0"/>
        <w:adjustRightInd w:val="0"/>
        <w:spacing w:line="500" w:lineRule="exact"/>
        <w:jc w:val="right"/>
        <w:rPr>
          <w:rFonts w:ascii="仿宋_GB2312" w:hAnsi="宋体" w:eastAsia="仿宋_GB2312" w:cs="楷体_GB2312"/>
          <w:kern w:val="0"/>
          <w:sz w:val="30"/>
          <w:szCs w:val="30"/>
        </w:rPr>
      </w:pPr>
    </w:p>
    <w:p>
      <w:pPr>
        <w:autoSpaceDE w:val="0"/>
        <w:autoSpaceDN w:val="0"/>
        <w:adjustRightInd w:val="0"/>
        <w:spacing w:line="500" w:lineRule="exact"/>
        <w:jc w:val="right"/>
        <w:rPr>
          <w:rFonts w:ascii="仿宋_GB2312" w:hAnsi="宋体" w:eastAsia="仿宋_GB2312" w:cs="楷体_GB2312"/>
          <w:kern w:val="0"/>
          <w:sz w:val="30"/>
          <w:szCs w:val="30"/>
        </w:rPr>
      </w:pPr>
      <w:r>
        <w:rPr>
          <w:rFonts w:hint="eastAsia" w:ascii="仿宋_GB2312" w:hAnsi="宋体" w:eastAsia="仿宋_GB2312" w:cs="楷体_GB2312"/>
          <w:kern w:val="0"/>
          <w:sz w:val="30"/>
          <w:szCs w:val="30"/>
        </w:rPr>
        <w:drawing>
          <wp:anchor distT="0" distB="0" distL="114300" distR="114300" simplePos="0" relativeHeight="251661312" behindDoc="1" locked="0" layoutInCell="1" allowOverlap="1">
            <wp:simplePos x="0" y="0"/>
            <wp:positionH relativeFrom="column">
              <wp:posOffset>3133090</wp:posOffset>
            </wp:positionH>
            <wp:positionV relativeFrom="paragraph">
              <wp:posOffset>-245110</wp:posOffset>
            </wp:positionV>
            <wp:extent cx="1574165" cy="1551305"/>
            <wp:effectExtent l="0" t="0" r="6985" b="10795"/>
            <wp:wrapNone/>
            <wp:docPr id="3" name="图片 2" descr="2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001"/>
                    <pic:cNvPicPr>
                      <a:picLocks noChangeAspect="1" noChangeArrowheads="1"/>
                    </pic:cNvPicPr>
                  </pic:nvPicPr>
                  <pic:blipFill>
                    <a:blip r:embed="rId5" cstate="print"/>
                    <a:srcRect/>
                    <a:stretch>
                      <a:fillRect/>
                    </a:stretch>
                  </pic:blipFill>
                  <pic:spPr>
                    <a:xfrm>
                      <a:off x="0" y="0"/>
                      <a:ext cx="1574165" cy="1551305"/>
                    </a:xfrm>
                    <a:prstGeom prst="rect">
                      <a:avLst/>
                    </a:prstGeom>
                    <a:noFill/>
                    <a:ln w="9525">
                      <a:noFill/>
                      <a:miter lim="800000"/>
                      <a:headEnd/>
                      <a:tailEnd/>
                    </a:ln>
                  </pic:spPr>
                </pic:pic>
              </a:graphicData>
            </a:graphic>
          </wp:anchor>
        </w:drawing>
      </w:r>
      <w:r>
        <w:rPr>
          <w:rFonts w:hint="eastAsia" w:ascii="仿宋_GB2312" w:hAnsi="宋体" w:eastAsia="仿宋_GB2312" w:cs="楷体_GB2312"/>
          <w:kern w:val="0"/>
          <w:sz w:val="30"/>
          <w:szCs w:val="30"/>
        </w:rPr>
        <w:t>教育部西南高等学校师资培训中心</w:t>
      </w:r>
    </w:p>
    <w:p>
      <w:pPr>
        <w:autoSpaceDE w:val="0"/>
        <w:autoSpaceDN w:val="0"/>
        <w:adjustRightInd w:val="0"/>
        <w:spacing w:line="500" w:lineRule="exact"/>
        <w:ind w:right="640"/>
        <w:jc w:val="center"/>
        <w:rPr>
          <w:rFonts w:ascii="仿宋_GB2312" w:hAnsi="宋体" w:eastAsia="仿宋_GB2312" w:cs="楷体_GB2312"/>
          <w:kern w:val="0"/>
          <w:sz w:val="30"/>
          <w:szCs w:val="30"/>
        </w:rPr>
      </w:pPr>
      <w:r>
        <w:rPr>
          <w:rFonts w:hint="eastAsia" w:ascii="仿宋_GB2312" w:hAnsi="宋体" w:eastAsia="仿宋_GB2312" w:cs="楷体_GB2312"/>
          <w:kern w:val="0"/>
          <w:sz w:val="30"/>
          <w:szCs w:val="30"/>
        </w:rPr>
        <w:t xml:space="preserve">                                二○一六年六月八日</w:t>
      </w: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hint="eastAsia" w:ascii="仿宋_GB2312" w:eastAsia="仿宋_GB2312"/>
          <w:b/>
          <w:color w:val="000000"/>
          <w:sz w:val="32"/>
          <w:szCs w:val="30"/>
        </w:rPr>
      </w:pPr>
    </w:p>
    <w:p>
      <w:pPr>
        <w:spacing w:beforeLines="150" w:line="480" w:lineRule="exact"/>
        <w:rPr>
          <w:rFonts w:ascii="仿宋_GB2312" w:eastAsia="仿宋_GB2312"/>
          <w:b/>
          <w:color w:val="000000"/>
          <w:sz w:val="32"/>
          <w:szCs w:val="30"/>
        </w:rPr>
      </w:pPr>
      <w:bookmarkStart w:id="0" w:name="_GoBack"/>
      <w:bookmarkEnd w:id="0"/>
      <w:r>
        <w:rPr>
          <w:rFonts w:hint="eastAsia" w:ascii="仿宋_GB2312" w:eastAsia="仿宋_GB2312"/>
          <w:b/>
          <w:color w:val="000000"/>
          <w:sz w:val="32"/>
          <w:szCs w:val="30"/>
        </w:rPr>
        <w:t>附件：回执表</w:t>
      </w:r>
    </w:p>
    <w:p>
      <w:pPr>
        <w:jc w:val="center"/>
        <w:rPr>
          <w:rFonts w:ascii="方正小标宋简体" w:eastAsia="方正小标宋简体"/>
          <w:bCs/>
          <w:color w:val="000000"/>
          <w:sz w:val="30"/>
          <w:szCs w:val="30"/>
        </w:rPr>
      </w:pPr>
      <w:r>
        <w:rPr>
          <w:rFonts w:hint="eastAsia" w:ascii="方正小标宋简体" w:eastAsia="方正小标宋简体"/>
          <w:bCs/>
          <w:color w:val="000000"/>
          <w:sz w:val="30"/>
          <w:szCs w:val="30"/>
        </w:rPr>
        <w:t>高校实验室危险化学品安全管理与应急处置交流研讨会</w:t>
      </w:r>
    </w:p>
    <w:p>
      <w:pPr>
        <w:spacing w:line="500" w:lineRule="exact"/>
        <w:ind w:right="42" w:rightChars="20"/>
        <w:rPr>
          <w:rFonts w:ascii="方正小标宋简体" w:eastAsia="方正小标宋简体"/>
          <w:bCs/>
          <w:color w:val="000000"/>
          <w:sz w:val="30"/>
          <w:szCs w:val="30"/>
        </w:rPr>
      </w:pPr>
      <w:r>
        <w:rPr>
          <w:rFonts w:hint="eastAsia" w:ascii="仿宋_GB2312" w:eastAsia="仿宋_GB2312"/>
          <w:bCs/>
          <w:color w:val="000000"/>
          <w:sz w:val="28"/>
          <w:szCs w:val="28"/>
        </w:rPr>
        <w:t xml:space="preserve">经研究，我单位选派下列同志参加：     </w:t>
      </w:r>
    </w:p>
    <w:tbl>
      <w:tblPr>
        <w:tblStyle w:val="10"/>
        <w:tblW w:w="8677" w:type="dxa"/>
        <w:tblInd w:w="-34" w:type="dxa"/>
        <w:tblLayout w:type="fixed"/>
        <w:tblCellMar>
          <w:top w:w="0" w:type="dxa"/>
          <w:left w:w="108" w:type="dxa"/>
          <w:bottom w:w="0" w:type="dxa"/>
          <w:right w:w="108" w:type="dxa"/>
        </w:tblCellMar>
      </w:tblPr>
      <w:tblGrid>
        <w:gridCol w:w="1279"/>
        <w:gridCol w:w="711"/>
        <w:gridCol w:w="854"/>
        <w:gridCol w:w="1667"/>
        <w:gridCol w:w="1747"/>
        <w:gridCol w:w="285"/>
        <w:gridCol w:w="426"/>
        <w:gridCol w:w="285"/>
        <w:gridCol w:w="712"/>
        <w:gridCol w:w="711"/>
      </w:tblGrid>
      <w:tr>
        <w:tblPrEx>
          <w:tblLayout w:type="fixed"/>
          <w:tblCellMar>
            <w:top w:w="0" w:type="dxa"/>
            <w:left w:w="108" w:type="dxa"/>
            <w:bottom w:w="0" w:type="dxa"/>
            <w:right w:w="108" w:type="dxa"/>
          </w:tblCellMar>
        </w:tblPrEx>
        <w:trPr>
          <w:trHeight w:val="619"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rPr>
                <w:rFonts w:ascii="仿宋_GB2312" w:eastAsia="仿宋_GB2312" w:cs="Times New Roman"/>
                <w:bCs/>
                <w:kern w:val="2"/>
                <w:szCs w:val="20"/>
              </w:rPr>
            </w:pPr>
            <w:r>
              <w:rPr>
                <w:rFonts w:hint="eastAsia" w:ascii="仿宋_GB2312" w:eastAsia="仿宋_GB2312" w:cs="Times New Roman"/>
                <w:bCs/>
                <w:kern w:val="2"/>
                <w:szCs w:val="20"/>
              </w:rPr>
              <w:t>单位名称</w:t>
            </w:r>
          </w:p>
        </w:tc>
        <w:tc>
          <w:tcPr>
            <w:tcW w:w="4979" w:type="dxa"/>
            <w:gridSpan w:val="4"/>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pStyle w:val="15"/>
              <w:rPr>
                <w:rFonts w:ascii="仿宋_GB2312" w:eastAsia="仿宋_GB2312" w:cs="Times New Roman"/>
                <w:bCs/>
                <w:kern w:val="2"/>
                <w:szCs w:val="20"/>
              </w:rPr>
            </w:pPr>
            <w:r>
              <w:rPr>
                <w:rFonts w:hint="eastAsia" w:ascii="仿宋_GB2312" w:eastAsia="仿宋_GB2312" w:cs="Times New Roman"/>
                <w:bCs/>
                <w:kern w:val="2"/>
                <w:szCs w:val="20"/>
              </w:rPr>
              <w:t>邮编</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r>
      <w:tr>
        <w:tblPrEx>
          <w:tblLayout w:type="fixed"/>
          <w:tblCellMar>
            <w:top w:w="0" w:type="dxa"/>
            <w:left w:w="108" w:type="dxa"/>
            <w:bottom w:w="0" w:type="dxa"/>
            <w:right w:w="108" w:type="dxa"/>
          </w:tblCellMar>
        </w:tblPrEx>
        <w:trPr>
          <w:trHeight w:val="627"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r>
              <w:rPr>
                <w:rFonts w:hint="eastAsia" w:ascii="仿宋_GB2312" w:eastAsia="仿宋_GB2312" w:cs="Times New Roman"/>
                <w:bCs/>
                <w:kern w:val="2"/>
                <w:szCs w:val="20"/>
              </w:rPr>
              <w:t>联系人</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r>
              <w:rPr>
                <w:rFonts w:hint="eastAsia" w:ascii="仿宋_GB2312" w:eastAsia="仿宋_GB2312" w:cs="Times New Roman"/>
                <w:bCs/>
                <w:kern w:val="2"/>
                <w:szCs w:val="20"/>
              </w:rPr>
              <w:t xml:space="preserve"> 电话（区号）</w:t>
            </w:r>
          </w:p>
        </w:tc>
        <w:tc>
          <w:tcPr>
            <w:tcW w:w="174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pStyle w:val="15"/>
              <w:rPr>
                <w:rFonts w:ascii="仿宋_GB2312" w:eastAsia="仿宋_GB2312" w:cs="Times New Roman"/>
                <w:bCs/>
                <w:kern w:val="2"/>
                <w:szCs w:val="20"/>
              </w:rPr>
            </w:pPr>
            <w:r>
              <w:rPr>
                <w:rFonts w:hint="eastAsia" w:ascii="仿宋_GB2312" w:eastAsia="仿宋_GB2312" w:cs="Times New Roman"/>
                <w:bCs/>
                <w:kern w:val="2"/>
                <w:szCs w:val="20"/>
              </w:rPr>
              <w:t>传真</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r>
      <w:tr>
        <w:tblPrEx>
          <w:tblLayout w:type="fixed"/>
          <w:tblCellMar>
            <w:top w:w="0" w:type="dxa"/>
            <w:left w:w="108" w:type="dxa"/>
            <w:bottom w:w="0" w:type="dxa"/>
            <w:right w:w="108" w:type="dxa"/>
          </w:tblCellMar>
        </w:tblPrEx>
        <w:trPr>
          <w:trHeight w:val="635"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ind w:firstLine="240" w:firstLineChars="100"/>
              <w:rPr>
                <w:rFonts w:ascii="仿宋_GB2312" w:eastAsia="仿宋_GB2312" w:cs="Times New Roman"/>
                <w:bCs/>
                <w:kern w:val="2"/>
                <w:szCs w:val="20"/>
              </w:rPr>
            </w:pPr>
            <w:r>
              <w:rPr>
                <w:rFonts w:hint="eastAsia" w:ascii="仿宋_GB2312" w:eastAsia="仿宋_GB2312" w:cs="Times New Roman"/>
                <w:bCs/>
                <w:kern w:val="2"/>
                <w:szCs w:val="20"/>
              </w:rPr>
              <w:t>手 机</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r>
              <w:rPr>
                <w:rFonts w:hint="eastAsia" w:ascii="仿宋_GB2312" w:eastAsia="仿宋_GB2312" w:cs="Times New Roman"/>
                <w:bCs/>
                <w:kern w:val="2"/>
                <w:szCs w:val="20"/>
              </w:rPr>
              <w:t>通讯地址</w:t>
            </w:r>
          </w:p>
        </w:tc>
        <w:tc>
          <w:tcPr>
            <w:tcW w:w="4166" w:type="dxa"/>
            <w:gridSpan w:val="6"/>
            <w:tcBorders>
              <w:top w:val="single" w:color="auto" w:sz="4" w:space="0"/>
              <w:left w:val="single" w:color="auto" w:sz="4" w:space="0"/>
              <w:bottom w:val="single" w:color="auto" w:sz="4" w:space="0"/>
              <w:right w:val="single" w:color="auto" w:sz="4" w:space="0"/>
            </w:tcBorders>
            <w:vAlign w:val="center"/>
          </w:tcPr>
          <w:p>
            <w:pPr>
              <w:pStyle w:val="15"/>
              <w:jc w:val="both"/>
              <w:rPr>
                <w:rFonts w:ascii="仿宋_GB2312" w:eastAsia="仿宋_GB2312" w:cs="Times New Roman"/>
                <w:bCs/>
                <w:kern w:val="2"/>
                <w:szCs w:val="20"/>
              </w:rPr>
            </w:pPr>
          </w:p>
        </w:tc>
      </w:tr>
      <w:tr>
        <w:tblPrEx>
          <w:tblLayout w:type="fixed"/>
          <w:tblCellMar>
            <w:top w:w="0" w:type="dxa"/>
            <w:left w:w="108" w:type="dxa"/>
            <w:bottom w:w="0" w:type="dxa"/>
            <w:right w:w="108" w:type="dxa"/>
          </w:tblCellMar>
        </w:tblPrEx>
        <w:trPr>
          <w:trHeight w:val="271" w:hRule="atLeast"/>
        </w:trPr>
        <w:tc>
          <w:tcPr>
            <w:tcW w:w="1279" w:type="dxa"/>
            <w:vMerge w:val="restart"/>
            <w:tcBorders>
              <w:top w:val="single" w:color="auto" w:sz="4" w:space="0"/>
              <w:left w:val="single" w:color="auto" w:sz="4" w:space="0"/>
              <w:right w:val="single" w:color="auto" w:sz="4" w:space="0"/>
            </w:tcBorders>
            <w:vAlign w:val="center"/>
          </w:tcPr>
          <w:p>
            <w:pPr>
              <w:pStyle w:val="15"/>
              <w:tabs>
                <w:tab w:val="left" w:pos="792"/>
              </w:tabs>
              <w:ind w:firstLine="240" w:firstLineChars="100"/>
              <w:rPr>
                <w:rFonts w:ascii="仿宋_GB2312" w:eastAsia="仿宋_GB2312" w:cs="Times New Roman"/>
                <w:bCs/>
                <w:kern w:val="2"/>
                <w:szCs w:val="20"/>
              </w:rPr>
            </w:pPr>
            <w:r>
              <w:rPr>
                <w:rFonts w:hint="eastAsia" w:ascii="仿宋_GB2312" w:eastAsia="仿宋_GB2312" w:cs="Times New Roman"/>
                <w:bCs/>
                <w:kern w:val="2"/>
                <w:szCs w:val="20"/>
              </w:rPr>
              <w:t>姓 名</w:t>
            </w:r>
          </w:p>
        </w:tc>
        <w:tc>
          <w:tcPr>
            <w:tcW w:w="711" w:type="dxa"/>
            <w:vMerge w:val="restart"/>
            <w:tcBorders>
              <w:top w:val="single" w:color="auto" w:sz="4" w:space="0"/>
              <w:left w:val="single" w:color="auto" w:sz="4" w:space="0"/>
              <w:right w:val="single" w:color="auto" w:sz="4" w:space="0"/>
            </w:tcBorders>
            <w:vAlign w:val="center"/>
          </w:tcPr>
          <w:p>
            <w:pPr>
              <w:pStyle w:val="15"/>
              <w:jc w:val="center"/>
              <w:rPr>
                <w:rFonts w:ascii="仿宋_GB2312" w:eastAsia="仿宋_GB2312" w:cs="Times New Roman"/>
                <w:bCs/>
                <w:kern w:val="2"/>
                <w:szCs w:val="20"/>
              </w:rPr>
            </w:pPr>
            <w:r>
              <w:rPr>
                <w:rFonts w:hint="eastAsia" w:ascii="仿宋_GB2312" w:eastAsia="仿宋_GB2312" w:cs="Times New Roman"/>
                <w:bCs/>
                <w:kern w:val="2"/>
                <w:szCs w:val="20"/>
              </w:rPr>
              <w:t>性别</w:t>
            </w:r>
          </w:p>
        </w:tc>
        <w:tc>
          <w:tcPr>
            <w:tcW w:w="854" w:type="dxa"/>
            <w:vMerge w:val="restart"/>
            <w:tcBorders>
              <w:top w:val="single" w:color="auto" w:sz="4" w:space="0"/>
              <w:left w:val="single" w:color="auto" w:sz="4" w:space="0"/>
              <w:right w:val="single" w:color="auto" w:sz="4" w:space="0"/>
            </w:tcBorders>
            <w:vAlign w:val="center"/>
          </w:tcPr>
          <w:p>
            <w:pPr>
              <w:pStyle w:val="15"/>
              <w:spacing w:line="300" w:lineRule="exact"/>
              <w:jc w:val="center"/>
              <w:rPr>
                <w:rFonts w:ascii="仿宋_GB2312" w:eastAsia="仿宋_GB2312" w:cs="Times New Roman"/>
                <w:bCs/>
                <w:kern w:val="2"/>
                <w:szCs w:val="20"/>
              </w:rPr>
            </w:pPr>
            <w:r>
              <w:rPr>
                <w:rFonts w:hint="eastAsia" w:ascii="仿宋_GB2312" w:eastAsia="仿宋_GB2312" w:cs="Times New Roman"/>
                <w:bCs/>
                <w:kern w:val="2"/>
                <w:szCs w:val="20"/>
              </w:rPr>
              <w:t>职称/</w:t>
            </w:r>
          </w:p>
          <w:p>
            <w:pPr>
              <w:pStyle w:val="15"/>
              <w:spacing w:line="300" w:lineRule="exact"/>
              <w:jc w:val="center"/>
              <w:rPr>
                <w:rFonts w:ascii="仿宋_GB2312" w:eastAsia="仿宋_GB2312" w:cs="Times New Roman"/>
                <w:bCs/>
                <w:kern w:val="2"/>
                <w:szCs w:val="20"/>
              </w:rPr>
            </w:pPr>
            <w:r>
              <w:rPr>
                <w:rFonts w:hint="eastAsia" w:ascii="仿宋_GB2312" w:eastAsia="仿宋_GB2312" w:cs="Times New Roman"/>
                <w:bCs/>
                <w:kern w:val="2"/>
                <w:szCs w:val="20"/>
              </w:rPr>
              <w:t>职务</w:t>
            </w:r>
          </w:p>
        </w:tc>
        <w:tc>
          <w:tcPr>
            <w:tcW w:w="1667" w:type="dxa"/>
            <w:vMerge w:val="restart"/>
            <w:tcBorders>
              <w:top w:val="single" w:color="auto" w:sz="4" w:space="0"/>
              <w:left w:val="single" w:color="auto" w:sz="4" w:space="0"/>
              <w:right w:val="single" w:color="auto" w:sz="4" w:space="0"/>
            </w:tcBorders>
            <w:vAlign w:val="center"/>
          </w:tcPr>
          <w:p>
            <w:pPr>
              <w:pStyle w:val="15"/>
              <w:jc w:val="center"/>
              <w:rPr>
                <w:rFonts w:ascii="仿宋_GB2312" w:eastAsia="仿宋_GB2312" w:cs="Times New Roman"/>
                <w:bCs/>
                <w:kern w:val="2"/>
                <w:szCs w:val="20"/>
              </w:rPr>
            </w:pPr>
            <w:r>
              <w:rPr>
                <w:rFonts w:hint="eastAsia" w:ascii="仿宋_GB2312" w:eastAsia="仿宋_GB2312" w:cs="Times New Roman"/>
                <w:bCs/>
                <w:kern w:val="2"/>
                <w:szCs w:val="20"/>
              </w:rPr>
              <w:t>手 机</w:t>
            </w:r>
          </w:p>
        </w:tc>
        <w:tc>
          <w:tcPr>
            <w:tcW w:w="2032" w:type="dxa"/>
            <w:gridSpan w:val="2"/>
            <w:vMerge w:val="restart"/>
            <w:tcBorders>
              <w:top w:val="single" w:color="auto" w:sz="4" w:space="0"/>
              <w:left w:val="single" w:color="auto" w:sz="4" w:space="0"/>
              <w:right w:val="single" w:color="auto" w:sz="4" w:space="0"/>
            </w:tcBorders>
            <w:vAlign w:val="center"/>
          </w:tcPr>
          <w:p>
            <w:pPr>
              <w:pStyle w:val="15"/>
              <w:jc w:val="center"/>
              <w:rPr>
                <w:rFonts w:ascii="仿宋_GB2312" w:eastAsia="仿宋_GB2312" w:cs="Times New Roman"/>
                <w:bCs/>
                <w:kern w:val="2"/>
                <w:szCs w:val="20"/>
              </w:rPr>
            </w:pPr>
            <w:r>
              <w:rPr>
                <w:rFonts w:hint="eastAsia" w:ascii="仿宋_GB2312" w:eastAsia="仿宋_GB2312" w:cs="Times New Roman"/>
                <w:bCs/>
                <w:kern w:val="2"/>
                <w:szCs w:val="20"/>
              </w:rPr>
              <w:t>邮 箱</w:t>
            </w:r>
          </w:p>
        </w:tc>
        <w:tc>
          <w:tcPr>
            <w:tcW w:w="14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r>
              <w:rPr>
                <w:rFonts w:hint="eastAsia" w:ascii="仿宋_GB2312" w:eastAsia="仿宋_GB2312"/>
                <w:bCs/>
                <w:color w:val="000000"/>
                <w:sz w:val="24"/>
              </w:rPr>
              <w:t>住宿意愿</w:t>
            </w:r>
          </w:p>
        </w:tc>
        <w:tc>
          <w:tcPr>
            <w:tcW w:w="711"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Cs/>
                <w:color w:val="000000"/>
                <w:sz w:val="24"/>
              </w:rPr>
            </w:pPr>
            <w:r>
              <w:rPr>
                <w:rFonts w:hint="eastAsia" w:ascii="仿宋_GB2312" w:eastAsia="仿宋_GB2312"/>
                <w:bCs/>
                <w:color w:val="000000"/>
                <w:sz w:val="24"/>
              </w:rPr>
              <w:t>备注</w:t>
            </w:r>
          </w:p>
        </w:tc>
      </w:tr>
      <w:tr>
        <w:tblPrEx>
          <w:tblLayout w:type="fixed"/>
          <w:tblCellMar>
            <w:top w:w="0" w:type="dxa"/>
            <w:left w:w="108" w:type="dxa"/>
            <w:bottom w:w="0" w:type="dxa"/>
            <w:right w:w="108" w:type="dxa"/>
          </w:tblCellMar>
        </w:tblPrEx>
        <w:trPr>
          <w:trHeight w:val="401" w:hRule="atLeast"/>
        </w:trPr>
        <w:tc>
          <w:tcPr>
            <w:tcW w:w="1279" w:type="dxa"/>
            <w:vMerge w:val="continue"/>
            <w:tcBorders>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vMerge w:val="continue"/>
            <w:tcBorders>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vMerge w:val="continue"/>
            <w:tcBorders>
              <w:left w:val="single" w:color="auto" w:sz="4" w:space="0"/>
              <w:bottom w:val="single" w:color="auto" w:sz="4" w:space="0"/>
              <w:right w:val="single" w:color="auto" w:sz="4" w:space="0"/>
            </w:tcBorders>
            <w:vAlign w:val="center"/>
          </w:tcPr>
          <w:p>
            <w:pPr>
              <w:pStyle w:val="15"/>
              <w:spacing w:line="300" w:lineRule="exact"/>
              <w:jc w:val="center"/>
              <w:rPr>
                <w:rFonts w:ascii="仿宋_GB2312" w:eastAsia="仿宋_GB2312" w:cs="Times New Roman"/>
                <w:bCs/>
                <w:kern w:val="2"/>
                <w:szCs w:val="20"/>
              </w:rPr>
            </w:pPr>
          </w:p>
        </w:tc>
        <w:tc>
          <w:tcPr>
            <w:tcW w:w="1667" w:type="dxa"/>
            <w:vMerge w:val="continue"/>
            <w:tcBorders>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vMerge w:val="continue"/>
            <w:tcBorders>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sz w:val="24"/>
              </w:rPr>
            </w:pPr>
            <w:r>
              <w:rPr>
                <w:rFonts w:hint="eastAsia" w:ascii="仿宋_GB2312" w:eastAsia="仿宋_GB2312"/>
                <w:bCs/>
                <w:color w:val="000000"/>
                <w:sz w:val="24"/>
              </w:rPr>
              <w:t>单住</w:t>
            </w:r>
          </w:p>
        </w:tc>
        <w:tc>
          <w:tcPr>
            <w:tcW w:w="712"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jc w:val="center"/>
              <w:rPr>
                <w:rFonts w:ascii="仿宋_GB2312" w:eastAsia="仿宋_GB2312" w:cs="Times New Roman"/>
                <w:bCs/>
                <w:kern w:val="2"/>
                <w:szCs w:val="20"/>
              </w:rPr>
            </w:pPr>
            <w:r>
              <w:rPr>
                <w:rFonts w:hint="eastAsia" w:ascii="仿宋_GB2312" w:eastAsia="仿宋_GB2312" w:cs="Times New Roman"/>
                <w:bCs/>
                <w:kern w:val="2"/>
                <w:szCs w:val="20"/>
              </w:rPr>
              <w:t>合住</w:t>
            </w:r>
          </w:p>
        </w:tc>
        <w:tc>
          <w:tcPr>
            <w:tcW w:w="711"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681" w:hRule="atLeast"/>
        </w:trPr>
        <w:tc>
          <w:tcPr>
            <w:tcW w:w="127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eastAsia="仿宋_GB2312" w:cs="Times New Roman"/>
                <w:bCs/>
                <w:kern w:val="2"/>
                <w:szCs w:val="20"/>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24"/>
              </w:rPr>
            </w:pPr>
          </w:p>
        </w:tc>
      </w:tr>
      <w:tr>
        <w:tblPrEx>
          <w:tblLayout w:type="fixed"/>
          <w:tblCellMar>
            <w:top w:w="0" w:type="dxa"/>
            <w:left w:w="108" w:type="dxa"/>
            <w:bottom w:w="0" w:type="dxa"/>
            <w:right w:w="108" w:type="dxa"/>
          </w:tblCellMar>
        </w:tblPrEx>
        <w:trPr>
          <w:trHeight w:val="486" w:hRule="atLeast"/>
        </w:trPr>
        <w:tc>
          <w:tcPr>
            <w:tcW w:w="8677"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sz w:val="24"/>
              </w:rPr>
            </w:pPr>
            <w:r>
              <w:rPr>
                <w:rFonts w:hint="eastAsia" w:ascii="仿宋_GB2312" w:eastAsia="仿宋_GB2312"/>
                <w:bCs/>
                <w:color w:val="000000"/>
                <w:sz w:val="24"/>
              </w:rPr>
              <w:t>您关注的会议内容：</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tc>
      </w:tr>
    </w:tbl>
    <w:p>
      <w:pPr>
        <w:spacing w:line="400" w:lineRule="exact"/>
        <w:rPr>
          <w:rFonts w:ascii="仿宋_GB2312" w:eastAsia="仿宋_GB2312"/>
          <w:bCs/>
          <w:sz w:val="24"/>
        </w:rPr>
      </w:pPr>
      <w:r>
        <w:rPr>
          <w:rFonts w:hint="eastAsia" w:ascii="仿宋_GB2312" w:eastAsia="仿宋_GB2312"/>
          <w:bCs/>
          <w:sz w:val="24"/>
        </w:rPr>
        <w:t>注：此表复制有效，请填写附件发邮件至：</w:t>
      </w:r>
      <w:r>
        <w:rPr>
          <w:rFonts w:hint="eastAsia" w:ascii="仿宋_GB2312" w:eastAsia="仿宋_GB2312"/>
          <w:bCs/>
          <w:szCs w:val="21"/>
        </w:rPr>
        <w:t>shizipeixun99@vip.163.com。</w:t>
      </w:r>
    </w:p>
    <w:p>
      <w:pPr>
        <w:autoSpaceDE w:val="0"/>
        <w:autoSpaceDN w:val="0"/>
        <w:adjustRightInd w:val="0"/>
        <w:jc w:val="left"/>
        <w:rPr>
          <w:rFonts w:ascii="仿宋_GB2312" w:hAnsi="宋体" w:eastAsia="仿宋_GB2312" w:cs="宋体"/>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5454"/>
    </w:sdtPr>
    <w:sdtContent>
      <w:p>
        <w:pPr>
          <w:pStyle w:val="4"/>
          <w:ind w:firstLine="3780" w:firstLineChars="2100"/>
        </w:pPr>
        <w:r>
          <w:rPr>
            <w:rFonts w:hint="eastAsia"/>
          </w:rPr>
          <w:t>—</w:t>
        </w:r>
        <w:r>
          <w:fldChar w:fldCharType="begin"/>
        </w:r>
        <w:r>
          <w:instrText xml:space="preserve"> PAGE   \* MERGEFORMAT </w:instrText>
        </w:r>
        <w:r>
          <w:fldChar w:fldCharType="separate"/>
        </w:r>
        <w:r>
          <w:rPr>
            <w:lang w:val="zh-CN"/>
          </w:rPr>
          <w:t>2</w:t>
        </w:r>
        <w:r>
          <w:rPr>
            <w:lang w:val="zh-CN"/>
          </w:rPr>
          <w:fldChar w:fldCharType="end"/>
        </w:r>
        <w:r>
          <w:rPr>
            <w:rFonts w:hint="eastAsia"/>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2EF4"/>
    <w:rsid w:val="00002DD5"/>
    <w:rsid w:val="00016370"/>
    <w:rsid w:val="00036F56"/>
    <w:rsid w:val="00052077"/>
    <w:rsid w:val="00052104"/>
    <w:rsid w:val="00070CD5"/>
    <w:rsid w:val="000A3947"/>
    <w:rsid w:val="000B3605"/>
    <w:rsid w:val="000C66C9"/>
    <w:rsid w:val="000E0194"/>
    <w:rsid w:val="0019348E"/>
    <w:rsid w:val="00195EA6"/>
    <w:rsid w:val="001A7718"/>
    <w:rsid w:val="001B0C00"/>
    <w:rsid w:val="001B762A"/>
    <w:rsid w:val="001C6C9B"/>
    <w:rsid w:val="002303BC"/>
    <w:rsid w:val="002716AB"/>
    <w:rsid w:val="00271CB1"/>
    <w:rsid w:val="00297BE4"/>
    <w:rsid w:val="002B7F5A"/>
    <w:rsid w:val="003521A1"/>
    <w:rsid w:val="00372384"/>
    <w:rsid w:val="00376B47"/>
    <w:rsid w:val="003B039A"/>
    <w:rsid w:val="003E26DA"/>
    <w:rsid w:val="003F4E29"/>
    <w:rsid w:val="0041345E"/>
    <w:rsid w:val="00414C4F"/>
    <w:rsid w:val="0042200D"/>
    <w:rsid w:val="00437EDF"/>
    <w:rsid w:val="00447A7A"/>
    <w:rsid w:val="004526C1"/>
    <w:rsid w:val="00464CA8"/>
    <w:rsid w:val="004706A8"/>
    <w:rsid w:val="004B3972"/>
    <w:rsid w:val="004E2961"/>
    <w:rsid w:val="004E3FF5"/>
    <w:rsid w:val="005128BF"/>
    <w:rsid w:val="005715B2"/>
    <w:rsid w:val="005A7F52"/>
    <w:rsid w:val="005B046B"/>
    <w:rsid w:val="005B19E8"/>
    <w:rsid w:val="005B382F"/>
    <w:rsid w:val="005D227E"/>
    <w:rsid w:val="005D3229"/>
    <w:rsid w:val="005D56BC"/>
    <w:rsid w:val="006043EE"/>
    <w:rsid w:val="00657087"/>
    <w:rsid w:val="00691650"/>
    <w:rsid w:val="00692578"/>
    <w:rsid w:val="0069520F"/>
    <w:rsid w:val="006A73CF"/>
    <w:rsid w:val="007119B0"/>
    <w:rsid w:val="007158AD"/>
    <w:rsid w:val="00721AFA"/>
    <w:rsid w:val="00760D61"/>
    <w:rsid w:val="007836F6"/>
    <w:rsid w:val="00783F46"/>
    <w:rsid w:val="00786BDE"/>
    <w:rsid w:val="007A433F"/>
    <w:rsid w:val="007A69E9"/>
    <w:rsid w:val="007A7718"/>
    <w:rsid w:val="007A7F2C"/>
    <w:rsid w:val="007B3F3E"/>
    <w:rsid w:val="007C668E"/>
    <w:rsid w:val="007D5E7D"/>
    <w:rsid w:val="007E1A51"/>
    <w:rsid w:val="007F2AC3"/>
    <w:rsid w:val="007F5373"/>
    <w:rsid w:val="00872B39"/>
    <w:rsid w:val="00895F17"/>
    <w:rsid w:val="008B17BC"/>
    <w:rsid w:val="008F46EB"/>
    <w:rsid w:val="00930910"/>
    <w:rsid w:val="009354ED"/>
    <w:rsid w:val="009A65A5"/>
    <w:rsid w:val="009E5CCC"/>
    <w:rsid w:val="009F7773"/>
    <w:rsid w:val="00A34801"/>
    <w:rsid w:val="00A40436"/>
    <w:rsid w:val="00A6425D"/>
    <w:rsid w:val="00A6763A"/>
    <w:rsid w:val="00A72A72"/>
    <w:rsid w:val="00A82469"/>
    <w:rsid w:val="00A86EB7"/>
    <w:rsid w:val="00A94832"/>
    <w:rsid w:val="00A960A6"/>
    <w:rsid w:val="00AB4B1A"/>
    <w:rsid w:val="00AB5F34"/>
    <w:rsid w:val="00AE4E72"/>
    <w:rsid w:val="00AF72F4"/>
    <w:rsid w:val="00B279AE"/>
    <w:rsid w:val="00B31C62"/>
    <w:rsid w:val="00B546C4"/>
    <w:rsid w:val="00B6040F"/>
    <w:rsid w:val="00B740B7"/>
    <w:rsid w:val="00B87D61"/>
    <w:rsid w:val="00B969E4"/>
    <w:rsid w:val="00BA375D"/>
    <w:rsid w:val="00BC1076"/>
    <w:rsid w:val="00BD186E"/>
    <w:rsid w:val="00BE12BF"/>
    <w:rsid w:val="00BE2BA0"/>
    <w:rsid w:val="00BE3129"/>
    <w:rsid w:val="00C21448"/>
    <w:rsid w:val="00C22EF4"/>
    <w:rsid w:val="00C47BF9"/>
    <w:rsid w:val="00C81B40"/>
    <w:rsid w:val="00C90F49"/>
    <w:rsid w:val="00C9520D"/>
    <w:rsid w:val="00CA123E"/>
    <w:rsid w:val="00CC014A"/>
    <w:rsid w:val="00CC2BC4"/>
    <w:rsid w:val="00CC5AF1"/>
    <w:rsid w:val="00CE037A"/>
    <w:rsid w:val="00CF59E6"/>
    <w:rsid w:val="00D07748"/>
    <w:rsid w:val="00D10BAD"/>
    <w:rsid w:val="00D219C8"/>
    <w:rsid w:val="00D233A8"/>
    <w:rsid w:val="00D3366E"/>
    <w:rsid w:val="00D70845"/>
    <w:rsid w:val="00D84BDD"/>
    <w:rsid w:val="00D93D36"/>
    <w:rsid w:val="00DA0244"/>
    <w:rsid w:val="00DA2B05"/>
    <w:rsid w:val="00DA7DCA"/>
    <w:rsid w:val="00DC2FE8"/>
    <w:rsid w:val="00DD4167"/>
    <w:rsid w:val="00DE01DA"/>
    <w:rsid w:val="00DE5291"/>
    <w:rsid w:val="00DF1490"/>
    <w:rsid w:val="00DF549B"/>
    <w:rsid w:val="00E22A2F"/>
    <w:rsid w:val="00E428DA"/>
    <w:rsid w:val="00E5331E"/>
    <w:rsid w:val="00E70F4F"/>
    <w:rsid w:val="00E745D6"/>
    <w:rsid w:val="00E85E77"/>
    <w:rsid w:val="00EA1083"/>
    <w:rsid w:val="00EA1E7E"/>
    <w:rsid w:val="00EA2DA2"/>
    <w:rsid w:val="00EB36EA"/>
    <w:rsid w:val="00EB71D8"/>
    <w:rsid w:val="00EB79F5"/>
    <w:rsid w:val="00EE2677"/>
    <w:rsid w:val="00EE4780"/>
    <w:rsid w:val="00EE66BA"/>
    <w:rsid w:val="00F66AF5"/>
    <w:rsid w:val="00F719E3"/>
    <w:rsid w:val="00F75D99"/>
    <w:rsid w:val="00F767DD"/>
    <w:rsid w:val="00F813ED"/>
    <w:rsid w:val="00F86C8A"/>
    <w:rsid w:val="00F9174A"/>
    <w:rsid w:val="00F9777A"/>
    <w:rsid w:val="00FB1921"/>
    <w:rsid w:val="00FB20F8"/>
    <w:rsid w:val="00FC2EA1"/>
    <w:rsid w:val="00FC7EB8"/>
    <w:rsid w:val="00FD5D97"/>
    <w:rsid w:val="00FF760F"/>
    <w:rsid w:val="0C366B54"/>
    <w:rsid w:val="57921E7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686868"/>
      <w:u w:val="none"/>
    </w:rPr>
  </w:style>
  <w:style w:type="character" w:customStyle="1" w:styleId="11">
    <w:name w:val="标题 1 Char"/>
    <w:basedOn w:val="7"/>
    <w:link w:val="2"/>
    <w:qFormat/>
    <w:uiPriority w:val="9"/>
    <w:rPr>
      <w:b/>
      <w:bCs/>
      <w:kern w:val="44"/>
      <w:sz w:val="44"/>
      <w:szCs w:val="44"/>
    </w:rPr>
  </w:style>
  <w:style w:type="character" w:customStyle="1" w:styleId="12">
    <w:name w:val="页眉 Char"/>
    <w:basedOn w:val="7"/>
    <w:link w:val="5"/>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标题 3 Char"/>
    <w:basedOn w:val="7"/>
    <w:link w:val="3"/>
    <w:qFormat/>
    <w:uiPriority w:val="0"/>
    <w:rPr>
      <w:rFonts w:ascii="Times New Roman" w:hAnsi="Times New Roman" w:eastAsia="宋体" w:cs="Times New Roman"/>
      <w:b/>
      <w:bCs/>
      <w:sz w:val="32"/>
      <w:szCs w:val="32"/>
    </w:rPr>
  </w:style>
  <w:style w:type="paragraph" w:customStyle="1" w:styleId="15">
    <w:name w:val="Defaul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16">
    <w:name w:val="No Spacing"/>
    <w:link w:val="17"/>
    <w:qFormat/>
    <w:uiPriority w:val="1"/>
    <w:rPr>
      <w:rFonts w:asciiTheme="minorHAnsi" w:hAnsiTheme="minorHAnsi" w:eastAsiaTheme="minorEastAsia" w:cstheme="minorBidi"/>
      <w:kern w:val="0"/>
      <w:sz w:val="22"/>
      <w:szCs w:val="22"/>
      <w:lang w:val="en-US" w:eastAsia="zh-CN" w:bidi="ar-SA"/>
    </w:rPr>
  </w:style>
  <w:style w:type="character" w:customStyle="1" w:styleId="17">
    <w:name w:val="无间隔 Char"/>
    <w:basedOn w:val="7"/>
    <w:link w:val="16"/>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201</Words>
  <Characters>1146</Characters>
  <Lines>9</Lines>
  <Paragraphs>2</Paragraphs>
  <ScaleCrop>false</ScaleCrop>
  <LinksUpToDate>false</LinksUpToDate>
  <CharactersWithSpaces>1345</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2016-06-08T02:48:00Z</dcterms:created>
  <dc:creator>User</dc:creator>
  <cp:lastModifiedBy>lufei</cp:lastModifiedBy>
  <dcterms:modified xsi:type="dcterms:W3CDTF">2016-06-30T09:59:16Z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