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240" w:afterLines="100" w:afterAutospacing="0" w:line="380" w:lineRule="exact"/>
        <w:ind w:left="0" w:right="0"/>
        <w:jc w:val="center"/>
      </w:pPr>
      <w:r>
        <w:rPr>
          <w:rFonts w:hint="eastAsia" w:ascii="Times New Roman" w:hAnsi="Times New Roman" w:eastAsia="宋体" w:cs="宋体"/>
          <w:b/>
          <w:bCs w:val="0"/>
          <w:kern w:val="0"/>
          <w:sz w:val="36"/>
          <w:szCs w:val="36"/>
          <w:lang w:val="en-US" w:eastAsia="zh-CN" w:bidi="ar"/>
        </w:rPr>
        <w:t>国家安全生产监督管理总局令</w:t>
      </w:r>
    </w:p>
    <w:p>
      <w:pPr>
        <w:keepNext w:val="0"/>
        <w:keepLines w:val="0"/>
        <w:widowControl/>
        <w:suppressLineNumbers w:val="0"/>
        <w:spacing w:before="0" w:beforeAutospacing="0" w:after="240" w:afterLines="100" w:afterAutospacing="0" w:line="380" w:lineRule="exact"/>
        <w:ind w:left="0" w:right="0"/>
        <w:jc w:val="center"/>
      </w:pPr>
      <w:r>
        <w:rPr>
          <w:rFonts w:ascii="楷体_GB2312" w:hAnsi="宋体" w:eastAsia="楷体_GB2312" w:cs="楷体_GB2312"/>
          <w:kern w:val="0"/>
          <w:sz w:val="24"/>
          <w:szCs w:val="24"/>
          <w:lang w:val="en-US" w:eastAsia="zh-CN" w:bidi="ar"/>
        </w:rPr>
        <w:t>第</w:t>
      </w:r>
      <w:r>
        <w:rPr>
          <w:rFonts w:hint="default" w:ascii="楷体_GB2312" w:hAnsi="宋体" w:eastAsia="楷体_GB2312" w:cs="楷体_GB2312"/>
          <w:kern w:val="0"/>
          <w:sz w:val="24"/>
          <w:szCs w:val="24"/>
          <w:lang w:val="en-US" w:eastAsia="zh-CN" w:bidi="ar"/>
        </w:rPr>
        <w:t>48号</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《职业病危害项目申报办法》已经</w:t>
      </w:r>
      <w:r>
        <w:rPr>
          <w:rFonts w:hint="default" w:ascii="Times New Roman" w:hAnsi="Times New Roman" w:eastAsia="宋体" w:cs="Times New Roman"/>
          <w:kern w:val="0"/>
          <w:sz w:val="24"/>
          <w:szCs w:val="24"/>
          <w:lang w:val="en-US" w:eastAsia="zh-CN" w:bidi="ar"/>
        </w:rPr>
        <w:t>2012</w:t>
      </w:r>
      <w:r>
        <w:rPr>
          <w:rFonts w:hint="eastAsia" w:ascii="Times New Roman" w:hAnsi="Times New Roman" w:eastAsia="宋体" w:cs="宋体"/>
          <w:kern w:val="0"/>
          <w:sz w:val="24"/>
          <w:szCs w:val="24"/>
          <w:lang w:val="en-US" w:eastAsia="zh-CN" w:bidi="ar"/>
        </w:rPr>
        <w:t>年</w:t>
      </w:r>
      <w:r>
        <w:rPr>
          <w:rFonts w:hint="default" w:ascii="Times New Roman" w:hAnsi="Times New Roman" w:eastAsia="宋体" w:cs="Times New Roman"/>
          <w:kern w:val="0"/>
          <w:sz w:val="24"/>
          <w:szCs w:val="24"/>
          <w:lang w:val="en-US" w:eastAsia="zh-CN" w:bidi="ar"/>
        </w:rPr>
        <w:t>3</w:t>
      </w:r>
      <w:r>
        <w:rPr>
          <w:rFonts w:hint="eastAsia" w:ascii="Times New Roman" w:hAnsi="Times New Roman"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6</w:t>
      </w:r>
      <w:r>
        <w:rPr>
          <w:rFonts w:hint="eastAsia" w:ascii="Times New Roman" w:hAnsi="Times New Roman" w:eastAsia="宋体" w:cs="宋体"/>
          <w:kern w:val="0"/>
          <w:sz w:val="24"/>
          <w:szCs w:val="24"/>
          <w:lang w:val="en-US" w:eastAsia="zh-CN" w:bidi="ar"/>
        </w:rPr>
        <w:t>日国家安全生产监督管理总局局长办公会议审议通过，现予公布，自</w:t>
      </w:r>
      <w:r>
        <w:rPr>
          <w:rFonts w:hint="default" w:ascii="Times New Roman" w:hAnsi="Times New Roman" w:eastAsia="宋体" w:cs="Times New Roman"/>
          <w:kern w:val="0"/>
          <w:sz w:val="24"/>
          <w:szCs w:val="24"/>
          <w:lang w:val="en-US" w:eastAsia="zh-CN" w:bidi="ar"/>
        </w:rPr>
        <w:t>2012</w:t>
      </w:r>
      <w:r>
        <w:rPr>
          <w:rFonts w:hint="eastAsia" w:ascii="Times New Roman" w:hAnsi="Times New Roman" w:eastAsia="宋体" w:cs="宋体"/>
          <w:kern w:val="0"/>
          <w:sz w:val="24"/>
          <w:szCs w:val="24"/>
          <w:lang w:val="en-US" w:eastAsia="zh-CN" w:bidi="ar"/>
        </w:rPr>
        <w:t>年</w:t>
      </w:r>
      <w:r>
        <w:rPr>
          <w:rFonts w:hint="default" w:ascii="Times New Roman" w:hAnsi="Times New Roman" w:eastAsia="宋体" w:cs="Times New Roman"/>
          <w:kern w:val="0"/>
          <w:sz w:val="24"/>
          <w:szCs w:val="24"/>
          <w:lang w:val="en-US" w:eastAsia="zh-CN" w:bidi="ar"/>
        </w:rPr>
        <w:t>6</w:t>
      </w:r>
      <w:r>
        <w:rPr>
          <w:rFonts w:hint="eastAsia" w:ascii="Times New Roman" w:hAnsi="Times New Roman"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w:t>
      </w:r>
      <w:r>
        <w:rPr>
          <w:rFonts w:hint="eastAsia" w:ascii="Times New Roman" w:hAnsi="Times New Roman" w:eastAsia="宋体" w:cs="宋体"/>
          <w:kern w:val="0"/>
          <w:sz w:val="24"/>
          <w:szCs w:val="24"/>
          <w:lang w:val="en-US" w:eastAsia="zh-CN" w:bidi="ar"/>
        </w:rPr>
        <w:t>日起施行。国家安全生产监督管理总局</w:t>
      </w:r>
      <w:r>
        <w:rPr>
          <w:rFonts w:hint="default" w:ascii="Times New Roman" w:hAnsi="Times New Roman" w:eastAsia="宋体" w:cs="Times New Roman"/>
          <w:kern w:val="0"/>
          <w:sz w:val="24"/>
          <w:szCs w:val="24"/>
          <w:lang w:val="en-US" w:eastAsia="zh-CN" w:bidi="ar"/>
        </w:rPr>
        <w:t>2009</w:t>
      </w:r>
      <w:r>
        <w:rPr>
          <w:rFonts w:hint="eastAsia" w:ascii="Times New Roman" w:hAnsi="Times New Roman" w:eastAsia="宋体" w:cs="宋体"/>
          <w:kern w:val="0"/>
          <w:sz w:val="24"/>
          <w:szCs w:val="24"/>
          <w:lang w:val="en-US" w:eastAsia="zh-CN" w:bidi="ar"/>
        </w:rPr>
        <w:t>年</w:t>
      </w:r>
      <w:r>
        <w:rPr>
          <w:rFonts w:hint="default" w:ascii="Times New Roman" w:hAnsi="Times New Roman" w:eastAsia="宋体" w:cs="Times New Roman"/>
          <w:kern w:val="0"/>
          <w:sz w:val="24"/>
          <w:szCs w:val="24"/>
          <w:lang w:val="en-US" w:eastAsia="zh-CN" w:bidi="ar"/>
        </w:rPr>
        <w:t>9</w:t>
      </w:r>
      <w:r>
        <w:rPr>
          <w:rFonts w:hint="eastAsia" w:ascii="Times New Roman" w:hAnsi="Times New Roman"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8</w:t>
      </w:r>
      <w:r>
        <w:rPr>
          <w:rFonts w:hint="eastAsia" w:ascii="Times New Roman" w:hAnsi="Times New Roman" w:eastAsia="宋体" w:cs="宋体"/>
          <w:kern w:val="0"/>
          <w:sz w:val="24"/>
          <w:szCs w:val="24"/>
          <w:lang w:val="en-US" w:eastAsia="zh-CN" w:bidi="ar"/>
        </w:rPr>
        <w:t>日公布的《作业场所职业危害申报管理办法》同时废止。</w:t>
      </w:r>
    </w:p>
    <w:p>
      <w:pPr>
        <w:keepNext w:val="0"/>
        <w:keepLines w:val="0"/>
        <w:widowControl/>
        <w:suppressLineNumbers w:val="0"/>
        <w:spacing w:before="0" w:beforeAutospacing="0" w:after="240" w:afterLines="100" w:afterAutospacing="0" w:line="380" w:lineRule="exact"/>
        <w:ind w:left="0" w:right="0" w:firstLine="420" w:firstLineChars="200"/>
        <w:jc w:val="right"/>
      </w:pPr>
      <w:r>
        <w:rPr>
          <w:rFonts w:hint="eastAsia" w:ascii="Times New Roman" w:hAnsi="Times New Roman" w:eastAsia="宋体" w:cs="宋体"/>
          <w:kern w:val="0"/>
          <w:sz w:val="24"/>
          <w:szCs w:val="24"/>
          <w:lang w:val="en-US" w:eastAsia="zh-CN" w:bidi="ar"/>
        </w:rPr>
        <w:t>国家安全生产监督管理总局</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骆琳</w:t>
      </w:r>
    </w:p>
    <w:p>
      <w:pPr>
        <w:keepNext w:val="0"/>
        <w:keepLines w:val="0"/>
        <w:widowControl/>
        <w:suppressLineNumbers w:val="0"/>
        <w:spacing w:before="0" w:beforeAutospacing="0" w:after="240" w:afterLines="100" w:afterAutospacing="0" w:line="380" w:lineRule="exact"/>
        <w:ind w:left="0" w:right="0" w:firstLine="420" w:firstLineChars="200"/>
        <w:jc w:val="right"/>
      </w:pPr>
      <w:r>
        <w:rPr>
          <w:rFonts w:hint="eastAsia" w:ascii="Times New Roman" w:hAnsi="Times New Roman" w:eastAsia="宋体" w:cs="宋体"/>
          <w:kern w:val="0"/>
          <w:sz w:val="24"/>
          <w:szCs w:val="24"/>
          <w:lang w:val="en-US" w:eastAsia="zh-CN" w:bidi="ar"/>
        </w:rPr>
        <w:t>二○一二年四月二十七日</w:t>
      </w:r>
    </w:p>
    <w:p>
      <w:pPr>
        <w:keepNext w:val="0"/>
        <w:keepLines w:val="0"/>
        <w:widowControl/>
        <w:suppressLineNumbers w:val="0"/>
        <w:spacing w:before="0" w:beforeAutospacing="0" w:after="240" w:afterLines="100" w:afterAutospacing="0" w:line="380" w:lineRule="exact"/>
        <w:ind w:left="0" w:right="0"/>
        <w:jc w:val="center"/>
      </w:pPr>
      <w:bookmarkStart w:id="0" w:name="_GoBack"/>
      <w:r>
        <w:rPr>
          <w:rFonts w:hint="eastAsia" w:ascii="Times New Roman" w:hAnsi="Times New Roman" w:eastAsia="宋体" w:cs="宋体"/>
          <w:b/>
          <w:bCs w:val="0"/>
          <w:kern w:val="0"/>
          <w:sz w:val="36"/>
          <w:szCs w:val="36"/>
          <w:lang w:val="en-US" w:eastAsia="zh-CN" w:bidi="ar"/>
        </w:rPr>
        <w:t>职业病危害项目申报办法</w:t>
      </w:r>
    </w:p>
    <w:bookmarkEnd w:id="0"/>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第一条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为了规范职业病危害项目的申报工作，加强对用人单位职业卫生工作的监督管理，根据《中华人民共和国职业病防治法》，制定本办法。</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用人单位（煤矿除外）工作场所存在职业病目录所列职业病的危害因素的，应当及时、如实向所在地安全生产监督管理部门申报危害项目，并接受安全生产监督管理部门的监督管理。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煤矿职业病危害项目申报办法另行规定。</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第三条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本办法所称职业病危害项目，是指存在职业病危害因素的项目。</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职业病危害因素按照《职业病危害因素分类目录》确定。</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第四条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职业病危害项目申报工作实行属地分级管理的原则。</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中央企业、省属企业及其所属用人单位的职业病危害项目，向其所在地设区的市级人民政府安全生产监督管理部门申报。</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前款规定以外的其他用人单位的职业病危害项目，向其所在地县级人民政府安全生产监督管理部门申报。</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第五条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用人单位申报职业病危害项目时，应当提交《职业病危害项目申报表》和下列文件、资料：</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（一）用人单位的基本情况；</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（二）工作场所职业病危害因素种类、分布情况以及接触人数；</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（三）法律、法规和规章规定的其他文件、资料。</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第六条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职业病危害项目申报同时采取电子数据和纸质文本两种方式。</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用人单位应当首先通过“职业病危害项目申报系统”进行电子数据申报，同时将《职业病危害项目申报表》加盖公章并由本单位主要负责人签字后，按照本办法第四条和第五条的规定，连同有关文件、资料一并上报所在地设区的市级、县级安全生产监督管理部门。</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受理申报的安全生产监督管理部门应当自收到申报文件、资料之日起</w:t>
      </w:r>
      <w:r>
        <w:rPr>
          <w:rFonts w:hint="default" w:ascii="Times New Roman" w:hAnsi="Times New Roman" w:eastAsia="宋体" w:cs="Times New Roman"/>
          <w:kern w:val="0"/>
          <w:sz w:val="24"/>
          <w:szCs w:val="24"/>
          <w:lang w:val="en-US" w:eastAsia="zh-CN" w:bidi="ar"/>
        </w:rPr>
        <w:t>5</w:t>
      </w:r>
      <w:r>
        <w:rPr>
          <w:rFonts w:hint="eastAsia" w:ascii="Times New Roman" w:hAnsi="Times New Roman" w:eastAsia="宋体" w:cs="宋体"/>
          <w:kern w:val="0"/>
          <w:sz w:val="24"/>
          <w:szCs w:val="24"/>
          <w:lang w:val="en-US" w:eastAsia="zh-CN" w:bidi="ar"/>
        </w:rPr>
        <w:t>个工作日内，出具《职业病危害项目申报回执》。</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第七条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职业病危害项目申报不得收取任何费用。</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第八条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用人单位有下列情形之一的，应当按照本条规定向原申报机关申报变更职业病危害项目内容：</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（一）进行新建、改建、扩建、技术改造或者技术引进建设项目的，自建设项目竣工验收之日起</w:t>
      </w:r>
      <w:r>
        <w:rPr>
          <w:rFonts w:hint="default" w:ascii="Times New Roman" w:hAnsi="Times New Roman" w:eastAsia="宋体" w:cs="Times New Roman"/>
          <w:kern w:val="0"/>
          <w:sz w:val="24"/>
          <w:szCs w:val="24"/>
          <w:lang w:val="en-US" w:eastAsia="zh-CN" w:bidi="ar"/>
        </w:rPr>
        <w:t>30</w:t>
      </w:r>
      <w:r>
        <w:rPr>
          <w:rFonts w:hint="eastAsia" w:ascii="Times New Roman" w:hAnsi="Times New Roman" w:eastAsia="宋体" w:cs="宋体"/>
          <w:kern w:val="0"/>
          <w:sz w:val="24"/>
          <w:szCs w:val="24"/>
          <w:lang w:val="en-US" w:eastAsia="zh-CN" w:bidi="ar"/>
        </w:rPr>
        <w:t>日内进行申报；</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（二）因技术、工艺、设备或者材料等发生变化导致原申报的职业病危害因素及其相关内容发生重大变化的，自发生变化之日起</w:t>
      </w:r>
      <w:r>
        <w:rPr>
          <w:rFonts w:hint="default" w:ascii="Times New Roman" w:hAnsi="Times New Roman" w:eastAsia="宋体" w:cs="Times New Roman"/>
          <w:kern w:val="0"/>
          <w:sz w:val="24"/>
          <w:szCs w:val="24"/>
          <w:lang w:val="en-US" w:eastAsia="zh-CN" w:bidi="ar"/>
        </w:rPr>
        <w:t>15</w:t>
      </w:r>
      <w:r>
        <w:rPr>
          <w:rFonts w:hint="eastAsia" w:ascii="Times New Roman" w:hAnsi="Times New Roman" w:eastAsia="宋体" w:cs="宋体"/>
          <w:kern w:val="0"/>
          <w:sz w:val="24"/>
          <w:szCs w:val="24"/>
          <w:lang w:val="en-US" w:eastAsia="zh-CN" w:bidi="ar"/>
        </w:rPr>
        <w:t>日内进行申报；</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（三）用人单位工作场所、名称、法定代表人或者主要负责人发生变化的，自发生变化之日起</w:t>
      </w:r>
      <w:r>
        <w:rPr>
          <w:rFonts w:hint="default" w:ascii="Times New Roman" w:hAnsi="Times New Roman" w:eastAsia="宋体" w:cs="Times New Roman"/>
          <w:kern w:val="0"/>
          <w:sz w:val="24"/>
          <w:szCs w:val="24"/>
          <w:lang w:val="en-US" w:eastAsia="zh-CN" w:bidi="ar"/>
        </w:rPr>
        <w:t>15</w:t>
      </w:r>
      <w:r>
        <w:rPr>
          <w:rFonts w:hint="eastAsia" w:ascii="Times New Roman" w:hAnsi="Times New Roman" w:eastAsia="宋体" w:cs="宋体"/>
          <w:kern w:val="0"/>
          <w:sz w:val="24"/>
          <w:szCs w:val="24"/>
          <w:lang w:val="en-US" w:eastAsia="zh-CN" w:bidi="ar"/>
        </w:rPr>
        <w:t>日内进行申报；</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（四）经过职业病危害因素检测、评价，发现原申报内容发生变化的，自收到有关检测、评价结果之日起</w:t>
      </w:r>
      <w:r>
        <w:rPr>
          <w:rFonts w:hint="default" w:ascii="Times New Roman" w:hAnsi="Times New Roman" w:eastAsia="宋体" w:cs="Times New Roman"/>
          <w:kern w:val="0"/>
          <w:sz w:val="24"/>
          <w:szCs w:val="24"/>
          <w:lang w:val="en-US" w:eastAsia="zh-CN" w:bidi="ar"/>
        </w:rPr>
        <w:t>15</w:t>
      </w:r>
      <w:r>
        <w:rPr>
          <w:rFonts w:hint="eastAsia" w:ascii="Times New Roman" w:hAnsi="Times New Roman" w:eastAsia="宋体" w:cs="宋体"/>
          <w:kern w:val="0"/>
          <w:sz w:val="24"/>
          <w:szCs w:val="24"/>
          <w:lang w:val="en-US" w:eastAsia="zh-CN" w:bidi="ar"/>
        </w:rPr>
        <w:t>日内进行申报。</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第九条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用人单位终止生产经营活动的，应当自生产经营活动终止之日起</w:t>
      </w:r>
      <w:r>
        <w:rPr>
          <w:rFonts w:hint="default" w:ascii="Times New Roman" w:hAnsi="Times New Roman" w:eastAsia="宋体" w:cs="Times New Roman"/>
          <w:kern w:val="0"/>
          <w:sz w:val="24"/>
          <w:szCs w:val="24"/>
          <w:lang w:val="en-US" w:eastAsia="zh-CN" w:bidi="ar"/>
        </w:rPr>
        <w:t>15</w:t>
      </w:r>
      <w:r>
        <w:rPr>
          <w:rFonts w:hint="eastAsia" w:ascii="Times New Roman" w:hAnsi="Times New Roman" w:eastAsia="宋体" w:cs="宋体"/>
          <w:kern w:val="0"/>
          <w:sz w:val="24"/>
          <w:szCs w:val="24"/>
          <w:lang w:val="en-US" w:eastAsia="zh-CN" w:bidi="ar"/>
        </w:rPr>
        <w:t>日内向原申报机关报告并办理注销手续。</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受理申报的安全生产监督管理部门应当建立职业病危害项目管理档案。职业病危害项目管理档案应当包括辖区内存在职业病危害因素的用人单位数量、职业病危害因素种类、行业及地区分布、接触人数等内容。</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第十一条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安全生产监督管理部门应当依法对用人单位职业病危害项目申报情况进行抽查，并对职业病危害项目实施监督检查。</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第十二条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安全生产监督管理部门及其工作人员应当保守用人单位商业秘密和技术秘密。违反有关保密义务的，应当承担相应的法律责任。</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第十三条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安全生产监督管理部门应当建立健全举报制度，依法受理和查处有关用人单位违反本办法行为的举报。</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任何单位和个人均有权向安全生产监督管理部门举报用人单位违反本办法的行为。</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第十四条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用人单位未按照本办法规定及时、如实地申报职业病危害项目的，责令限期改正，给予警告，可以并处</w:t>
      </w:r>
      <w:r>
        <w:rPr>
          <w:rFonts w:hint="default" w:ascii="Times New Roman" w:hAnsi="Times New Roman" w:eastAsia="宋体" w:cs="Times New Roman"/>
          <w:kern w:val="0"/>
          <w:sz w:val="24"/>
          <w:szCs w:val="24"/>
          <w:lang w:val="en-US" w:eastAsia="zh-CN" w:bidi="ar"/>
        </w:rPr>
        <w:t>5</w:t>
      </w:r>
      <w:r>
        <w:rPr>
          <w:rFonts w:hint="eastAsia" w:ascii="Times New Roman" w:hAnsi="Times New Roman" w:eastAsia="宋体" w:cs="宋体"/>
          <w:kern w:val="0"/>
          <w:sz w:val="24"/>
          <w:szCs w:val="24"/>
          <w:lang w:val="en-US" w:eastAsia="zh-CN" w:bidi="ar"/>
        </w:rPr>
        <w:t>万元以上</w:t>
      </w:r>
      <w:r>
        <w:rPr>
          <w:rFonts w:hint="default" w:ascii="Times New Roman" w:hAnsi="Times New Roman" w:eastAsia="宋体" w:cs="Times New Roman"/>
          <w:kern w:val="0"/>
          <w:sz w:val="24"/>
          <w:szCs w:val="24"/>
          <w:lang w:val="en-US" w:eastAsia="zh-CN" w:bidi="ar"/>
        </w:rPr>
        <w:t>10</w:t>
      </w:r>
      <w:r>
        <w:rPr>
          <w:rFonts w:hint="eastAsia" w:ascii="Times New Roman" w:hAnsi="Times New Roman" w:eastAsia="宋体" w:cs="宋体"/>
          <w:kern w:val="0"/>
          <w:sz w:val="24"/>
          <w:szCs w:val="24"/>
          <w:lang w:val="en-US" w:eastAsia="zh-CN" w:bidi="ar"/>
        </w:rPr>
        <w:t>万元以下的罚款。</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第十五条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用人单位有关事项发生重大变化，未按照本办法的规定申报变更职业病危害项目内容的，责令限期改正，可以并处</w:t>
      </w:r>
      <w:r>
        <w:rPr>
          <w:rFonts w:hint="default" w:ascii="Times New Roman" w:hAnsi="Times New Roman" w:eastAsia="宋体" w:cs="Times New Roman"/>
          <w:kern w:val="0"/>
          <w:sz w:val="24"/>
          <w:szCs w:val="24"/>
          <w:lang w:val="en-US" w:eastAsia="zh-CN" w:bidi="ar"/>
        </w:rPr>
        <w:t>5</w:t>
      </w:r>
      <w:r>
        <w:rPr>
          <w:rFonts w:hint="eastAsia" w:ascii="Times New Roman" w:hAnsi="Times New Roman" w:eastAsia="宋体" w:cs="宋体"/>
          <w:kern w:val="0"/>
          <w:sz w:val="24"/>
          <w:szCs w:val="24"/>
          <w:lang w:val="en-US" w:eastAsia="zh-CN" w:bidi="ar"/>
        </w:rPr>
        <w:t>千元以上</w:t>
      </w:r>
      <w:r>
        <w:rPr>
          <w:rFonts w:hint="default" w:ascii="Times New Roman" w:hAnsi="Times New Roman" w:eastAsia="宋体" w:cs="Times New Roman"/>
          <w:kern w:val="0"/>
          <w:sz w:val="24"/>
          <w:szCs w:val="24"/>
          <w:lang w:val="en-US" w:eastAsia="zh-CN" w:bidi="ar"/>
        </w:rPr>
        <w:t>3</w:t>
      </w:r>
      <w:r>
        <w:rPr>
          <w:rFonts w:hint="eastAsia" w:ascii="Times New Roman" w:hAnsi="Times New Roman" w:eastAsia="宋体" w:cs="宋体"/>
          <w:kern w:val="0"/>
          <w:sz w:val="24"/>
          <w:szCs w:val="24"/>
          <w:lang w:val="en-US" w:eastAsia="zh-CN" w:bidi="ar"/>
        </w:rPr>
        <w:t>万元以下的罚款。</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第十六条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《职业病危害项目申报表》、《职业病危害项目申报回执》的式样由国家安全生产监督管理总局规定。</w:t>
      </w:r>
    </w:p>
    <w:p>
      <w:pPr>
        <w:keepNext w:val="0"/>
        <w:keepLines w:val="0"/>
        <w:widowControl/>
        <w:suppressLineNumbers w:val="0"/>
        <w:spacing w:before="0" w:beforeAutospacing="0" w:after="240" w:afterLines="100" w:afterAutospacing="0" w:line="380" w:lineRule="exact"/>
        <w:ind w:left="0" w:right="0" w:firstLine="420" w:firstLineChars="200"/>
        <w:jc w:val="left"/>
        <w:rPr>
          <w:rFonts w:hint="eastAsia" w:ascii="Times New Roman" w:hAnsi="Times New Roman" w:eastAsia="宋体" w:cs="宋体"/>
          <w:kern w:val="0"/>
          <w:sz w:val="24"/>
          <w:szCs w:val="24"/>
          <w:lang w:val="en-US" w:eastAsia="zh-CN" w:bidi="ar"/>
        </w:rPr>
      </w:pPr>
      <w:r>
        <w:rPr>
          <w:rFonts w:hint="eastAsia" w:ascii="Times New Roman" w:hAnsi="Times New Roman" w:eastAsia="宋体" w:cs="宋体"/>
          <w:kern w:val="0"/>
          <w:sz w:val="24"/>
          <w:szCs w:val="24"/>
          <w:lang w:val="en-US" w:eastAsia="zh-CN" w:bidi="ar"/>
        </w:rPr>
        <w:t>第十七条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本办法自</w:t>
      </w:r>
      <w:r>
        <w:rPr>
          <w:rFonts w:hint="default" w:ascii="Times New Roman" w:hAnsi="Times New Roman" w:eastAsia="宋体" w:cs="Times New Roman"/>
          <w:kern w:val="0"/>
          <w:sz w:val="24"/>
          <w:szCs w:val="24"/>
          <w:lang w:val="en-US" w:eastAsia="zh-CN" w:bidi="ar"/>
        </w:rPr>
        <w:t>2012</w:t>
      </w:r>
      <w:r>
        <w:rPr>
          <w:rFonts w:hint="eastAsia" w:ascii="Times New Roman" w:hAnsi="Times New Roman" w:eastAsia="宋体" w:cs="宋体"/>
          <w:kern w:val="0"/>
          <w:sz w:val="24"/>
          <w:szCs w:val="24"/>
          <w:lang w:val="en-US" w:eastAsia="zh-CN" w:bidi="ar"/>
        </w:rPr>
        <w:t>年</w:t>
      </w:r>
      <w:r>
        <w:rPr>
          <w:rFonts w:hint="default" w:ascii="Times New Roman" w:hAnsi="Times New Roman" w:eastAsia="宋体" w:cs="Times New Roman"/>
          <w:kern w:val="0"/>
          <w:sz w:val="24"/>
          <w:szCs w:val="24"/>
          <w:lang w:val="en-US" w:eastAsia="zh-CN" w:bidi="ar"/>
        </w:rPr>
        <w:t>6</w:t>
      </w:r>
      <w:r>
        <w:rPr>
          <w:rFonts w:hint="eastAsia" w:ascii="Times New Roman" w:hAnsi="Times New Roman"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w:t>
      </w:r>
      <w:r>
        <w:rPr>
          <w:rFonts w:hint="eastAsia" w:ascii="Times New Roman" w:hAnsi="Times New Roman" w:eastAsia="宋体" w:cs="宋体"/>
          <w:kern w:val="0"/>
          <w:sz w:val="24"/>
          <w:szCs w:val="24"/>
          <w:lang w:val="en-US" w:eastAsia="zh-CN" w:bidi="ar"/>
        </w:rPr>
        <w:t>日起施行。国家安全生产监督管理总局</w:t>
      </w:r>
      <w:r>
        <w:rPr>
          <w:rFonts w:hint="default" w:ascii="Times New Roman" w:hAnsi="Times New Roman" w:eastAsia="宋体" w:cs="Times New Roman"/>
          <w:kern w:val="0"/>
          <w:sz w:val="24"/>
          <w:szCs w:val="24"/>
          <w:lang w:val="en-US" w:eastAsia="zh-CN" w:bidi="ar"/>
        </w:rPr>
        <w:t>2009</w:t>
      </w:r>
      <w:r>
        <w:rPr>
          <w:rFonts w:hint="eastAsia" w:ascii="Times New Roman" w:hAnsi="Times New Roman" w:eastAsia="宋体" w:cs="宋体"/>
          <w:kern w:val="0"/>
          <w:sz w:val="24"/>
          <w:szCs w:val="24"/>
          <w:lang w:val="en-US" w:eastAsia="zh-CN" w:bidi="ar"/>
        </w:rPr>
        <w:t>年</w:t>
      </w:r>
      <w:r>
        <w:rPr>
          <w:rFonts w:hint="default" w:ascii="Times New Roman" w:hAnsi="Times New Roman" w:eastAsia="宋体" w:cs="Times New Roman"/>
          <w:kern w:val="0"/>
          <w:sz w:val="24"/>
          <w:szCs w:val="24"/>
          <w:lang w:val="en-US" w:eastAsia="zh-CN" w:bidi="ar"/>
        </w:rPr>
        <w:t>9</w:t>
      </w:r>
      <w:r>
        <w:rPr>
          <w:rFonts w:hint="eastAsia" w:ascii="Times New Roman" w:hAnsi="Times New Roman"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8</w:t>
      </w:r>
      <w:r>
        <w:rPr>
          <w:rFonts w:hint="eastAsia" w:ascii="Times New Roman" w:hAnsi="Times New Roman" w:eastAsia="宋体" w:cs="宋体"/>
          <w:kern w:val="0"/>
          <w:sz w:val="24"/>
          <w:szCs w:val="24"/>
          <w:lang w:val="en-US" w:eastAsia="zh-CN" w:bidi="ar"/>
        </w:rPr>
        <w:t>日公布的《作业场所职业危害申报管理办法》同时废止。</w:t>
      </w:r>
    </w:p>
    <w:p>
      <w:pPr>
        <w:keepNext w:val="0"/>
        <w:keepLines w:val="0"/>
        <w:widowControl/>
        <w:suppressLineNumbers w:val="0"/>
        <w:spacing w:before="0" w:beforeAutospacing="0" w:after="240" w:afterLines="100" w:afterAutospacing="0" w:line="380" w:lineRule="exact"/>
        <w:ind w:left="0" w:right="0" w:firstLine="420" w:firstLineChars="200"/>
        <w:jc w:val="left"/>
        <w:rPr>
          <w:rFonts w:hint="eastAsia" w:ascii="Times New Roman" w:hAnsi="Times New Roman" w:eastAsia="宋体" w:cs="宋体"/>
          <w:kern w:val="0"/>
          <w:sz w:val="24"/>
          <w:szCs w:val="24"/>
          <w:lang w:val="en-US" w:eastAsia="zh-CN" w:bidi="ar"/>
        </w:rPr>
      </w:pPr>
    </w:p>
    <w:p>
      <w:pPr>
        <w:keepNext w:val="0"/>
        <w:keepLines w:val="0"/>
        <w:widowControl/>
        <w:suppressLineNumbers w:val="0"/>
        <w:spacing w:before="0" w:beforeAutospacing="0" w:after="240" w:afterLines="100" w:afterAutospacing="0" w:line="380" w:lineRule="exact"/>
        <w:ind w:left="0" w:right="0" w:firstLine="420" w:firstLineChars="200"/>
        <w:jc w:val="left"/>
        <w:rPr>
          <w:rFonts w:hint="eastAsia" w:ascii="Times New Roman" w:hAnsi="Times New Roman" w:eastAsia="宋体" w:cs="宋体"/>
          <w:kern w:val="0"/>
          <w:sz w:val="24"/>
          <w:szCs w:val="24"/>
          <w:lang w:val="en-US" w:eastAsia="zh-CN" w:bidi="ar"/>
        </w:rPr>
      </w:pPr>
    </w:p>
    <w:p>
      <w:pPr>
        <w:keepNext w:val="0"/>
        <w:keepLines w:val="0"/>
        <w:widowControl/>
        <w:suppressLineNumbers w:val="0"/>
        <w:spacing w:before="0" w:beforeAutospacing="0" w:after="240" w:afterLines="100" w:afterAutospacing="0" w:line="380" w:lineRule="exact"/>
        <w:ind w:left="0" w:right="0" w:firstLine="420" w:firstLineChars="200"/>
        <w:jc w:val="left"/>
        <w:rPr>
          <w:rFonts w:hint="eastAsia" w:ascii="Times New Roman" w:hAnsi="Times New Roman" w:eastAsia="宋体" w:cs="宋体"/>
          <w:kern w:val="0"/>
          <w:sz w:val="24"/>
          <w:szCs w:val="24"/>
          <w:lang w:val="en-US" w:eastAsia="zh-CN" w:bidi="ar"/>
        </w:rPr>
      </w:pPr>
    </w:p>
    <w:p>
      <w:pPr>
        <w:keepNext w:val="0"/>
        <w:keepLines w:val="0"/>
        <w:widowControl/>
        <w:suppressLineNumbers w:val="0"/>
        <w:spacing w:before="0" w:beforeAutospacing="0" w:after="240" w:afterLines="100" w:afterAutospacing="0" w:line="380" w:lineRule="exact"/>
        <w:ind w:left="0" w:right="0" w:firstLine="420" w:firstLineChars="200"/>
        <w:jc w:val="left"/>
        <w:rPr>
          <w:rFonts w:hint="eastAsia" w:ascii="Times New Roman" w:hAnsi="Times New Roman" w:eastAsia="宋体" w:cs="宋体"/>
          <w:kern w:val="0"/>
          <w:sz w:val="24"/>
          <w:szCs w:val="24"/>
          <w:lang w:val="en-US" w:eastAsia="zh-CN" w:bidi="ar"/>
        </w:rPr>
      </w:pPr>
    </w:p>
    <w:p>
      <w:pPr>
        <w:keepNext w:val="0"/>
        <w:keepLines w:val="0"/>
        <w:widowControl/>
        <w:suppressLineNumbers w:val="0"/>
        <w:spacing w:before="0" w:beforeAutospacing="0" w:after="240" w:afterLines="100" w:afterAutospacing="0" w:line="380" w:lineRule="exact"/>
        <w:ind w:left="0" w:right="0" w:firstLine="420" w:firstLineChars="200"/>
        <w:jc w:val="left"/>
        <w:rPr>
          <w:rFonts w:hint="eastAsia" w:ascii="Times New Roman" w:hAnsi="Times New Roman" w:eastAsia="宋体" w:cs="宋体"/>
          <w:kern w:val="0"/>
          <w:sz w:val="24"/>
          <w:szCs w:val="24"/>
          <w:lang w:val="en-US" w:eastAsia="zh-CN" w:bidi="ar"/>
        </w:rPr>
      </w:pPr>
    </w:p>
    <w:p>
      <w:pPr>
        <w:keepNext w:val="0"/>
        <w:keepLines w:val="0"/>
        <w:widowControl/>
        <w:suppressLineNumbers w:val="0"/>
        <w:spacing w:before="0" w:beforeAutospacing="0" w:after="240" w:afterLines="100" w:afterAutospacing="0" w:line="380" w:lineRule="exact"/>
        <w:ind w:left="0" w:right="0" w:firstLine="420" w:firstLineChars="200"/>
        <w:jc w:val="left"/>
        <w:rPr>
          <w:rFonts w:hint="eastAsia" w:ascii="Times New Roman" w:hAnsi="Times New Roman" w:eastAsia="宋体" w:cs="宋体"/>
          <w:kern w:val="0"/>
          <w:sz w:val="24"/>
          <w:szCs w:val="24"/>
          <w:lang w:val="en-US" w:eastAsia="zh-CN" w:bidi="ar"/>
        </w:rPr>
      </w:pPr>
    </w:p>
    <w:p>
      <w:pPr>
        <w:keepNext w:val="0"/>
        <w:keepLines w:val="0"/>
        <w:widowControl/>
        <w:suppressLineNumbers w:val="0"/>
        <w:spacing w:before="0" w:beforeAutospacing="0" w:after="240" w:afterLines="100" w:afterAutospacing="0" w:line="380" w:lineRule="exact"/>
        <w:ind w:left="0" w:right="0" w:firstLine="420" w:firstLineChars="200"/>
        <w:jc w:val="left"/>
        <w:rPr>
          <w:rFonts w:hint="eastAsia" w:ascii="Times New Roman" w:hAnsi="Times New Roman" w:eastAsia="宋体" w:cs="宋体"/>
          <w:kern w:val="0"/>
          <w:sz w:val="24"/>
          <w:szCs w:val="24"/>
          <w:lang w:val="en-US" w:eastAsia="zh-CN" w:bidi="ar"/>
        </w:rPr>
      </w:pPr>
    </w:p>
    <w:p>
      <w:pPr>
        <w:keepNext w:val="0"/>
        <w:keepLines w:val="0"/>
        <w:widowControl/>
        <w:suppressLineNumbers w:val="0"/>
        <w:spacing w:before="0" w:beforeAutospacing="0" w:after="240" w:afterLines="100" w:afterAutospacing="0" w:line="380" w:lineRule="exact"/>
        <w:ind w:left="0" w:right="0" w:firstLine="420" w:firstLineChars="200"/>
        <w:jc w:val="left"/>
        <w:rPr>
          <w:rFonts w:hint="eastAsia" w:ascii="Times New Roman" w:hAnsi="Times New Roman" w:eastAsia="宋体" w:cs="宋体"/>
          <w:kern w:val="0"/>
          <w:sz w:val="24"/>
          <w:szCs w:val="24"/>
          <w:lang w:val="en-US" w:eastAsia="zh-CN" w:bidi="ar"/>
        </w:rPr>
      </w:pPr>
    </w:p>
    <w:p>
      <w:pPr>
        <w:jc w:val="center"/>
        <w:rPr>
          <w:rFonts w:hint="eastAsia" w:ascii="华文中宋" w:hAnsi="华文中宋" w:eastAsia="华文中宋" w:cs="Batang"/>
          <w:b/>
          <w:bCs/>
          <w:sz w:val="44"/>
          <w:szCs w:val="44"/>
        </w:rPr>
      </w:pPr>
      <w:r>
        <w:rPr>
          <w:rFonts w:hint="eastAsia" w:ascii="华文中宋" w:hAnsi="华文中宋" w:eastAsia="华文中宋" w:cs="宋体"/>
          <w:b/>
          <w:bCs/>
          <w:sz w:val="44"/>
          <w:szCs w:val="44"/>
        </w:rPr>
        <w:t>职业病</w:t>
      </w:r>
      <w:r>
        <w:rPr>
          <w:rFonts w:hint="eastAsia" w:ascii="华文中宋" w:hAnsi="华文中宋" w:eastAsia="华文中宋" w:cs="Batang"/>
          <w:b/>
          <w:bCs/>
          <w:sz w:val="44"/>
          <w:szCs w:val="44"/>
        </w:rPr>
        <w:t>危害项目申</w:t>
      </w:r>
      <w:r>
        <w:rPr>
          <w:rFonts w:hint="eastAsia" w:ascii="华文中宋" w:hAnsi="华文中宋" w:eastAsia="华文中宋" w:cs="宋体"/>
          <w:b/>
          <w:bCs/>
          <w:sz w:val="44"/>
          <w:szCs w:val="44"/>
        </w:rPr>
        <w:t>报</w:t>
      </w:r>
      <w:r>
        <w:rPr>
          <w:rFonts w:hint="eastAsia" w:ascii="华文中宋" w:hAnsi="华文中宋" w:eastAsia="华文中宋" w:cs="Batang"/>
          <w:b/>
          <w:bCs/>
          <w:sz w:val="44"/>
          <w:szCs w:val="44"/>
        </w:rPr>
        <w:t>表</w:t>
      </w:r>
    </w:p>
    <w:p>
      <w:pPr>
        <w:rPr>
          <w:rFonts w:hint="eastAsia" w:ascii="宋体" w:hAnsi="宋体"/>
          <w:b/>
        </w:rPr>
      </w:pPr>
      <w:r>
        <w:rPr>
          <w:rFonts w:hint="eastAsia" w:ascii="宋体" w:hAnsi="宋体"/>
          <w:b/>
        </w:rPr>
        <w:t xml:space="preserve">单位：（盖章）               主要负责人：       日期：  </w:t>
      </w:r>
    </w:p>
    <w:tbl>
      <w:tblPr>
        <w:tblStyle w:val="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1544"/>
        <w:gridCol w:w="172"/>
        <w:gridCol w:w="1198"/>
        <w:gridCol w:w="1399"/>
        <w:gridCol w:w="1178"/>
        <w:gridCol w:w="472"/>
        <w:gridCol w:w="895"/>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exact"/>
          <w:jc w:val="center"/>
        </w:trPr>
        <w:tc>
          <w:tcPr>
            <w:tcW w:w="2161" w:type="dxa"/>
            <w:gridSpan w:val="2"/>
            <w:vAlign w:val="center"/>
          </w:tcPr>
          <w:p>
            <w:pPr>
              <w:jc w:val="center"/>
              <w:rPr>
                <w:rFonts w:hint="eastAsia" w:ascii="楷体_GB2312" w:eastAsia="楷体_GB2312"/>
                <w:sz w:val="24"/>
              </w:rPr>
            </w:pPr>
            <w:r>
              <w:rPr>
                <w:rFonts w:hint="eastAsia" w:ascii="楷体_GB2312" w:eastAsia="楷体_GB2312"/>
                <w:sz w:val="24"/>
              </w:rPr>
              <w:t>申报类别</w:t>
            </w:r>
          </w:p>
        </w:tc>
        <w:tc>
          <w:tcPr>
            <w:tcW w:w="2769" w:type="dxa"/>
            <w:gridSpan w:val="3"/>
            <w:vAlign w:val="center"/>
          </w:tcPr>
          <w:p>
            <w:pPr>
              <w:rPr>
                <w:rFonts w:hint="eastAsia" w:ascii="楷体_GB2312" w:eastAsia="楷体_GB2312"/>
                <w:sz w:val="24"/>
              </w:rPr>
            </w:pPr>
            <w:r>
              <w:rPr>
                <w:rFonts w:hint="eastAsia" w:ascii="楷体_GB2312" w:eastAsia="楷体_GB2312"/>
                <w:sz w:val="24"/>
              </w:rPr>
              <w:t>初次申报○  变更申报○</w:t>
            </w:r>
          </w:p>
        </w:tc>
        <w:tc>
          <w:tcPr>
            <w:tcW w:w="1650" w:type="dxa"/>
            <w:gridSpan w:val="2"/>
            <w:vAlign w:val="center"/>
          </w:tcPr>
          <w:p>
            <w:pPr>
              <w:ind w:firstLine="240" w:firstLineChars="100"/>
              <w:rPr>
                <w:rFonts w:hint="eastAsia" w:ascii="楷体_GB2312" w:eastAsia="楷体_GB2312"/>
                <w:sz w:val="24"/>
              </w:rPr>
            </w:pPr>
            <w:r>
              <w:rPr>
                <w:rFonts w:hint="eastAsia" w:ascii="楷体_GB2312" w:eastAsia="楷体_GB2312"/>
                <w:sz w:val="24"/>
              </w:rPr>
              <w:t>变更原因</w:t>
            </w:r>
          </w:p>
        </w:tc>
        <w:tc>
          <w:tcPr>
            <w:tcW w:w="1942" w:type="dxa"/>
            <w:gridSpan w:val="2"/>
            <w:vAlign w:val="center"/>
          </w:tcPr>
          <w:p>
            <w:pP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exact"/>
          <w:jc w:val="center"/>
        </w:trPr>
        <w:tc>
          <w:tcPr>
            <w:tcW w:w="2161" w:type="dxa"/>
            <w:gridSpan w:val="2"/>
            <w:vAlign w:val="center"/>
          </w:tcPr>
          <w:p>
            <w:pPr>
              <w:jc w:val="center"/>
              <w:rPr>
                <w:rFonts w:hint="eastAsia" w:ascii="楷体_GB2312" w:eastAsia="楷体_GB2312"/>
                <w:sz w:val="24"/>
              </w:rPr>
            </w:pPr>
            <w:r>
              <w:rPr>
                <w:rFonts w:hint="eastAsia" w:ascii="楷体_GB2312" w:eastAsia="楷体_GB2312"/>
                <w:sz w:val="24"/>
              </w:rPr>
              <w:t>单位注册地址</w:t>
            </w:r>
          </w:p>
        </w:tc>
        <w:tc>
          <w:tcPr>
            <w:tcW w:w="2769" w:type="dxa"/>
            <w:gridSpan w:val="3"/>
            <w:vAlign w:val="center"/>
          </w:tcPr>
          <w:p>
            <w:pPr>
              <w:ind w:firstLine="3158" w:firstLineChars="1316"/>
              <w:jc w:val="center"/>
              <w:rPr>
                <w:rFonts w:hint="eastAsia" w:ascii="楷体_GB2312" w:eastAsia="楷体_GB2312"/>
                <w:sz w:val="24"/>
              </w:rPr>
            </w:pPr>
            <w:r>
              <w:rPr>
                <w:rFonts w:hint="eastAsia" w:ascii="楷体_GB2312" w:eastAsia="楷体_GB2312"/>
                <w:sz w:val="24"/>
              </w:rPr>
              <w:t xml:space="preserve">    </w:t>
            </w:r>
          </w:p>
        </w:tc>
        <w:tc>
          <w:tcPr>
            <w:tcW w:w="1650" w:type="dxa"/>
            <w:gridSpan w:val="2"/>
            <w:vAlign w:val="center"/>
          </w:tcPr>
          <w:p>
            <w:pPr>
              <w:jc w:val="center"/>
              <w:rPr>
                <w:rFonts w:hint="eastAsia" w:ascii="楷体_GB2312" w:eastAsia="楷体_GB2312"/>
                <w:sz w:val="24"/>
              </w:rPr>
            </w:pPr>
            <w:r>
              <w:rPr>
                <w:rFonts w:hint="eastAsia" w:ascii="楷体_GB2312" w:eastAsia="楷体_GB2312"/>
                <w:sz w:val="24"/>
              </w:rPr>
              <w:t>工作场所地址</w:t>
            </w:r>
          </w:p>
        </w:tc>
        <w:tc>
          <w:tcPr>
            <w:tcW w:w="1942" w:type="dxa"/>
            <w:gridSpan w:val="2"/>
            <w:vAlign w:val="center"/>
          </w:tcPr>
          <w:p>
            <w:pP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exact"/>
          <w:jc w:val="center"/>
        </w:trPr>
        <w:tc>
          <w:tcPr>
            <w:tcW w:w="2161" w:type="dxa"/>
            <w:gridSpan w:val="2"/>
            <w:vAlign w:val="center"/>
          </w:tcPr>
          <w:p>
            <w:pPr>
              <w:jc w:val="center"/>
              <w:rPr>
                <w:rFonts w:hint="eastAsia" w:ascii="楷体_GB2312" w:eastAsia="楷体_GB2312"/>
                <w:sz w:val="24"/>
              </w:rPr>
            </w:pPr>
            <w:r>
              <w:rPr>
                <w:rFonts w:hint="eastAsia" w:ascii="楷体_GB2312" w:eastAsia="楷体_GB2312"/>
                <w:sz w:val="24"/>
              </w:rPr>
              <w:t>企业类型</w:t>
            </w:r>
          </w:p>
        </w:tc>
        <w:tc>
          <w:tcPr>
            <w:tcW w:w="2769" w:type="dxa"/>
            <w:gridSpan w:val="3"/>
            <w:vAlign w:val="center"/>
          </w:tcPr>
          <w:p>
            <w:pPr>
              <w:jc w:val="center"/>
              <w:rPr>
                <w:rFonts w:hint="eastAsia" w:ascii="楷体_GB2312" w:eastAsia="楷体_GB2312"/>
                <w:sz w:val="24"/>
                <w:szCs w:val="24"/>
              </w:rPr>
            </w:pPr>
            <w:r>
              <w:rPr>
                <w:rFonts w:hint="eastAsia" w:ascii="楷体_GB2312" w:eastAsia="楷体_GB2312"/>
                <w:sz w:val="24"/>
                <w:szCs w:val="24"/>
              </w:rPr>
              <w:t>大○中○ 小○微 ○</w:t>
            </w:r>
          </w:p>
        </w:tc>
        <w:tc>
          <w:tcPr>
            <w:tcW w:w="1650" w:type="dxa"/>
            <w:gridSpan w:val="2"/>
            <w:vAlign w:val="center"/>
          </w:tcPr>
          <w:p>
            <w:pPr>
              <w:jc w:val="center"/>
              <w:rPr>
                <w:rFonts w:hint="eastAsia" w:ascii="楷体_GB2312" w:eastAsia="楷体_GB2312"/>
                <w:sz w:val="24"/>
              </w:rPr>
            </w:pPr>
            <w:r>
              <w:rPr>
                <w:rFonts w:hint="eastAsia" w:ascii="楷体_GB2312" w:eastAsia="楷体_GB2312"/>
                <w:sz w:val="24"/>
              </w:rPr>
              <w:t>行业分类</w:t>
            </w:r>
          </w:p>
        </w:tc>
        <w:tc>
          <w:tcPr>
            <w:tcW w:w="1942" w:type="dxa"/>
            <w:gridSpan w:val="2"/>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exact"/>
          <w:jc w:val="center"/>
        </w:trPr>
        <w:tc>
          <w:tcPr>
            <w:tcW w:w="2161" w:type="dxa"/>
            <w:gridSpan w:val="2"/>
            <w:tcBorders>
              <w:right w:val="single" w:color="auto" w:sz="6" w:space="0"/>
            </w:tcBorders>
            <w:vAlign w:val="center"/>
          </w:tcPr>
          <w:p>
            <w:pPr>
              <w:jc w:val="center"/>
              <w:rPr>
                <w:rFonts w:hint="eastAsia" w:ascii="楷体_GB2312" w:eastAsia="楷体_GB2312"/>
                <w:sz w:val="24"/>
              </w:rPr>
            </w:pPr>
            <w:r>
              <w:rPr>
                <w:rFonts w:hint="eastAsia" w:ascii="楷体_GB2312" w:eastAsia="楷体_GB2312"/>
                <w:sz w:val="24"/>
              </w:rPr>
              <w:t>法定代表人</w:t>
            </w:r>
          </w:p>
        </w:tc>
        <w:tc>
          <w:tcPr>
            <w:tcW w:w="2769" w:type="dxa"/>
            <w:gridSpan w:val="3"/>
            <w:tcBorders>
              <w:left w:val="single" w:color="auto" w:sz="6" w:space="0"/>
            </w:tcBorders>
            <w:vAlign w:val="center"/>
          </w:tcPr>
          <w:p>
            <w:pPr>
              <w:jc w:val="center"/>
              <w:rPr>
                <w:rFonts w:hint="eastAsia" w:ascii="楷体_GB2312" w:eastAsia="楷体_GB2312"/>
                <w:sz w:val="24"/>
              </w:rPr>
            </w:pPr>
          </w:p>
        </w:tc>
        <w:tc>
          <w:tcPr>
            <w:tcW w:w="1650" w:type="dxa"/>
            <w:gridSpan w:val="2"/>
            <w:vAlign w:val="center"/>
          </w:tcPr>
          <w:p>
            <w:pPr>
              <w:jc w:val="center"/>
              <w:rPr>
                <w:rFonts w:hint="eastAsia" w:ascii="楷体_GB2312" w:eastAsia="楷体_GB2312"/>
                <w:sz w:val="24"/>
              </w:rPr>
            </w:pPr>
            <w:r>
              <w:rPr>
                <w:rFonts w:hint="eastAsia" w:ascii="楷体_GB2312" w:eastAsia="楷体_GB2312"/>
                <w:sz w:val="24"/>
              </w:rPr>
              <w:t>联系电话</w:t>
            </w:r>
          </w:p>
        </w:tc>
        <w:tc>
          <w:tcPr>
            <w:tcW w:w="1942" w:type="dxa"/>
            <w:gridSpan w:val="2"/>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exact"/>
          <w:jc w:val="center"/>
        </w:trPr>
        <w:tc>
          <w:tcPr>
            <w:tcW w:w="2161" w:type="dxa"/>
            <w:gridSpan w:val="2"/>
            <w:vMerge w:val="restart"/>
            <w:vAlign w:val="center"/>
          </w:tcPr>
          <w:p>
            <w:pPr>
              <w:jc w:val="center"/>
              <w:rPr>
                <w:rFonts w:hint="eastAsia" w:ascii="楷体_GB2312" w:eastAsia="楷体_GB2312"/>
                <w:sz w:val="24"/>
              </w:rPr>
            </w:pPr>
            <w:r>
              <w:rPr>
                <w:rFonts w:hint="eastAsia" w:ascii="楷体_GB2312" w:eastAsia="楷体_GB2312"/>
                <w:sz w:val="24"/>
              </w:rPr>
              <w:t>职业卫生管理机构</w:t>
            </w:r>
          </w:p>
        </w:tc>
        <w:tc>
          <w:tcPr>
            <w:tcW w:w="2769" w:type="dxa"/>
            <w:gridSpan w:val="3"/>
            <w:vMerge w:val="restart"/>
            <w:vAlign w:val="center"/>
          </w:tcPr>
          <w:p>
            <w:pPr>
              <w:jc w:val="center"/>
              <w:rPr>
                <w:rFonts w:hint="eastAsia" w:ascii="楷体_GB2312" w:eastAsia="楷体_GB2312"/>
                <w:sz w:val="24"/>
              </w:rPr>
            </w:pPr>
            <w:r>
              <w:rPr>
                <w:rFonts w:hint="eastAsia" w:ascii="楷体_GB2312" w:eastAsia="楷体_GB2312"/>
                <w:sz w:val="24"/>
              </w:rPr>
              <w:t>有○  无○</w:t>
            </w:r>
          </w:p>
        </w:tc>
        <w:tc>
          <w:tcPr>
            <w:tcW w:w="1650" w:type="dxa"/>
            <w:gridSpan w:val="2"/>
            <w:vMerge w:val="restart"/>
            <w:vAlign w:val="center"/>
          </w:tcPr>
          <w:p>
            <w:pPr>
              <w:spacing w:line="400" w:lineRule="exact"/>
              <w:ind w:firstLine="480" w:firstLineChars="200"/>
              <w:jc w:val="center"/>
              <w:rPr>
                <w:rFonts w:hint="eastAsia" w:ascii="楷体_GB2312" w:eastAsia="楷体_GB2312"/>
                <w:sz w:val="24"/>
              </w:rPr>
            </w:pPr>
            <w:r>
              <w:rPr>
                <w:rFonts w:hint="eastAsia" w:ascii="仿宋_GB2312" w:hAnsi="Tahoma" w:cs="Tahoma"/>
                <w:kern w:val="0"/>
                <w:sz w:val="24"/>
              </w:rPr>
              <w:t>职业卫生管理人员数</w:t>
            </w:r>
          </w:p>
        </w:tc>
        <w:tc>
          <w:tcPr>
            <w:tcW w:w="895" w:type="dxa"/>
            <w:vAlign w:val="center"/>
          </w:tcPr>
          <w:p>
            <w:pPr>
              <w:ind w:left="102"/>
              <w:jc w:val="center"/>
              <w:rPr>
                <w:rFonts w:hint="eastAsia" w:ascii="楷体_GB2312" w:eastAsia="楷体_GB2312"/>
                <w:sz w:val="24"/>
              </w:rPr>
            </w:pPr>
            <w:r>
              <w:rPr>
                <w:rFonts w:hint="eastAsia" w:ascii="楷体_GB2312" w:eastAsia="楷体_GB2312"/>
                <w:sz w:val="24"/>
              </w:rPr>
              <w:t>专职</w:t>
            </w:r>
          </w:p>
        </w:tc>
        <w:tc>
          <w:tcPr>
            <w:tcW w:w="1047" w:type="dxa"/>
            <w:vAlign w:val="center"/>
          </w:tcPr>
          <w:p>
            <w:pPr>
              <w:ind w:left="102"/>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exact"/>
          <w:jc w:val="center"/>
        </w:trPr>
        <w:tc>
          <w:tcPr>
            <w:tcW w:w="2161" w:type="dxa"/>
            <w:gridSpan w:val="2"/>
            <w:vMerge w:val="continue"/>
            <w:tcBorders>
              <w:bottom w:val="single" w:color="auto" w:sz="2" w:space="0"/>
            </w:tcBorders>
            <w:vAlign w:val="center"/>
          </w:tcPr>
          <w:p>
            <w:pPr>
              <w:jc w:val="center"/>
              <w:rPr>
                <w:rFonts w:hint="eastAsia" w:ascii="楷体_GB2312" w:eastAsia="楷体_GB2312"/>
                <w:sz w:val="24"/>
              </w:rPr>
            </w:pPr>
          </w:p>
        </w:tc>
        <w:tc>
          <w:tcPr>
            <w:tcW w:w="2769" w:type="dxa"/>
            <w:gridSpan w:val="3"/>
            <w:vMerge w:val="continue"/>
            <w:tcBorders>
              <w:bottom w:val="single" w:color="auto" w:sz="2" w:space="0"/>
            </w:tcBorders>
            <w:vAlign w:val="center"/>
          </w:tcPr>
          <w:p>
            <w:pPr>
              <w:jc w:val="center"/>
              <w:rPr>
                <w:rFonts w:hint="eastAsia" w:ascii="楷体_GB2312" w:eastAsia="楷体_GB2312"/>
                <w:sz w:val="24"/>
              </w:rPr>
            </w:pPr>
          </w:p>
        </w:tc>
        <w:tc>
          <w:tcPr>
            <w:tcW w:w="1650" w:type="dxa"/>
            <w:gridSpan w:val="2"/>
            <w:vMerge w:val="continue"/>
            <w:tcBorders>
              <w:bottom w:val="single" w:color="auto" w:sz="2" w:space="0"/>
            </w:tcBorders>
            <w:vAlign w:val="center"/>
          </w:tcPr>
          <w:p>
            <w:pPr>
              <w:jc w:val="center"/>
              <w:rPr>
                <w:rFonts w:hint="eastAsia" w:ascii="楷体_GB2312" w:eastAsia="楷体_GB2312"/>
                <w:sz w:val="24"/>
              </w:rPr>
            </w:pPr>
          </w:p>
        </w:tc>
        <w:tc>
          <w:tcPr>
            <w:tcW w:w="895" w:type="dxa"/>
            <w:tcBorders>
              <w:bottom w:val="single" w:color="auto" w:sz="2" w:space="0"/>
            </w:tcBorders>
            <w:vAlign w:val="center"/>
          </w:tcPr>
          <w:p>
            <w:pPr>
              <w:ind w:left="102"/>
              <w:jc w:val="center"/>
              <w:rPr>
                <w:rFonts w:hint="eastAsia" w:ascii="楷体_GB2312" w:eastAsia="楷体_GB2312"/>
                <w:sz w:val="24"/>
              </w:rPr>
            </w:pPr>
            <w:r>
              <w:rPr>
                <w:rFonts w:hint="eastAsia" w:ascii="楷体_GB2312" w:eastAsia="楷体_GB2312"/>
                <w:sz w:val="24"/>
              </w:rPr>
              <w:t>兼职</w:t>
            </w:r>
          </w:p>
        </w:tc>
        <w:tc>
          <w:tcPr>
            <w:tcW w:w="1047" w:type="dxa"/>
            <w:tcBorders>
              <w:bottom w:val="single" w:color="auto" w:sz="2" w:space="0"/>
            </w:tcBorders>
            <w:vAlign w:val="center"/>
          </w:tcPr>
          <w:p>
            <w:pPr>
              <w:ind w:left="102"/>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exact"/>
          <w:jc w:val="center"/>
        </w:trPr>
        <w:tc>
          <w:tcPr>
            <w:tcW w:w="2161" w:type="dxa"/>
            <w:gridSpan w:val="2"/>
            <w:tcBorders>
              <w:top w:val="single" w:color="auto" w:sz="2" w:space="0"/>
              <w:left w:val="single" w:color="auto" w:sz="2" w:space="0"/>
              <w:bottom w:val="single" w:color="auto" w:sz="12" w:space="0"/>
              <w:right w:val="single" w:color="auto" w:sz="2" w:space="0"/>
            </w:tcBorders>
            <w:vAlign w:val="center"/>
          </w:tcPr>
          <w:p>
            <w:pPr>
              <w:jc w:val="center"/>
              <w:rPr>
                <w:rFonts w:hint="eastAsia" w:ascii="楷体_GB2312" w:eastAsia="楷体_GB2312"/>
                <w:sz w:val="24"/>
              </w:rPr>
            </w:pPr>
            <w:r>
              <w:rPr>
                <w:rFonts w:hint="eastAsia" w:ascii="楷体_GB2312" w:eastAsia="楷体_GB2312"/>
                <w:sz w:val="24"/>
              </w:rPr>
              <w:t>劳动者总人数</w:t>
            </w:r>
          </w:p>
        </w:tc>
        <w:tc>
          <w:tcPr>
            <w:tcW w:w="2769" w:type="dxa"/>
            <w:gridSpan w:val="3"/>
            <w:tcBorders>
              <w:top w:val="single" w:color="auto" w:sz="2" w:space="0"/>
              <w:left w:val="single" w:color="auto" w:sz="2" w:space="0"/>
              <w:bottom w:val="single" w:color="auto" w:sz="12" w:space="0"/>
              <w:right w:val="single" w:color="auto" w:sz="2" w:space="0"/>
            </w:tcBorders>
            <w:vAlign w:val="center"/>
          </w:tcPr>
          <w:p>
            <w:pPr>
              <w:jc w:val="center"/>
              <w:rPr>
                <w:rFonts w:hint="eastAsia" w:ascii="楷体_GB2312" w:eastAsia="楷体_GB2312"/>
                <w:sz w:val="24"/>
              </w:rPr>
            </w:pPr>
          </w:p>
        </w:tc>
        <w:tc>
          <w:tcPr>
            <w:tcW w:w="1650" w:type="dxa"/>
            <w:gridSpan w:val="2"/>
            <w:tcBorders>
              <w:top w:val="single" w:color="auto" w:sz="2" w:space="0"/>
              <w:left w:val="single" w:color="auto" w:sz="2" w:space="0"/>
              <w:bottom w:val="single" w:color="auto" w:sz="12" w:space="0"/>
              <w:right w:val="single" w:color="auto" w:sz="2" w:space="0"/>
            </w:tcBorders>
            <w:vAlign w:val="center"/>
          </w:tcPr>
          <w:p>
            <w:pPr>
              <w:rPr>
                <w:rFonts w:hint="eastAsia" w:ascii="楷体_GB2312" w:eastAsia="楷体_GB2312"/>
                <w:sz w:val="24"/>
              </w:rPr>
            </w:pPr>
            <w:r>
              <w:rPr>
                <w:rFonts w:hint="eastAsia" w:ascii="楷体_GB2312" w:eastAsia="楷体_GB2312"/>
                <w:sz w:val="24"/>
              </w:rPr>
              <w:t>职业病累计人数数</w:t>
            </w:r>
          </w:p>
        </w:tc>
        <w:tc>
          <w:tcPr>
            <w:tcW w:w="1942" w:type="dxa"/>
            <w:gridSpan w:val="2"/>
            <w:tcBorders>
              <w:top w:val="single" w:color="auto" w:sz="2" w:space="0"/>
              <w:left w:val="single" w:color="auto" w:sz="2" w:space="0"/>
              <w:bottom w:val="single" w:color="auto" w:sz="12" w:space="0"/>
              <w:right w:val="single" w:color="auto" w:sz="2"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exact"/>
          <w:jc w:val="center"/>
        </w:trPr>
        <w:tc>
          <w:tcPr>
            <w:tcW w:w="617" w:type="dxa"/>
            <w:vMerge w:val="restart"/>
            <w:tcBorders>
              <w:top w:val="single" w:color="auto" w:sz="12" w:space="0"/>
              <w:left w:val="single" w:color="auto" w:sz="12" w:space="0"/>
            </w:tcBorders>
            <w:textDirection w:val="tbRlV"/>
            <w:vAlign w:val="center"/>
          </w:tcPr>
          <w:p>
            <w:pPr>
              <w:ind w:left="113" w:right="113"/>
              <w:jc w:val="center"/>
              <w:rPr>
                <w:rFonts w:hint="eastAsia" w:ascii="楷体_GB2312" w:eastAsia="楷体_GB2312"/>
                <w:sz w:val="24"/>
              </w:rPr>
            </w:pPr>
            <w:r>
              <w:rPr>
                <w:rFonts w:hint="eastAsia" w:ascii="楷体_GB2312" w:eastAsia="楷体_GB2312"/>
                <w:spacing w:val="3"/>
                <w:w w:val="88"/>
                <w:kern w:val="0"/>
                <w:sz w:val="24"/>
                <w:fitText w:val="1920" w:id="0"/>
              </w:rPr>
              <w:t>职业病危害因素种</w:t>
            </w:r>
            <w:r>
              <w:rPr>
                <w:rFonts w:hint="eastAsia" w:ascii="楷体_GB2312" w:eastAsia="楷体_GB2312"/>
                <w:spacing w:val="-8"/>
                <w:w w:val="88"/>
                <w:kern w:val="0"/>
                <w:sz w:val="24"/>
                <w:fitText w:val="1920" w:id="0"/>
              </w:rPr>
              <w:t>类</w:t>
            </w:r>
          </w:p>
        </w:tc>
        <w:tc>
          <w:tcPr>
            <w:tcW w:w="2914" w:type="dxa"/>
            <w:gridSpan w:val="3"/>
            <w:tcBorders>
              <w:top w:val="single" w:color="auto" w:sz="12" w:space="0"/>
            </w:tcBorders>
            <w:vAlign w:val="center"/>
          </w:tcPr>
          <w:p>
            <w:pPr>
              <w:rPr>
                <w:rFonts w:hint="eastAsia" w:ascii="楷体_GB2312" w:eastAsia="楷体_GB2312"/>
                <w:sz w:val="24"/>
              </w:rPr>
            </w:pPr>
            <w:r>
              <w:rPr>
                <w:rFonts w:hint="eastAsia" w:ascii="楷体_GB2312" w:eastAsia="楷体_GB2312"/>
                <w:sz w:val="24"/>
              </w:rPr>
              <w:t>粉尘类       有○  无○</w:t>
            </w:r>
          </w:p>
        </w:tc>
        <w:tc>
          <w:tcPr>
            <w:tcW w:w="1399" w:type="dxa"/>
            <w:tcBorders>
              <w:top w:val="single" w:color="auto" w:sz="12" w:space="0"/>
            </w:tcBorders>
            <w:vAlign w:val="center"/>
          </w:tcPr>
          <w:p>
            <w:pPr>
              <w:jc w:val="center"/>
              <w:rPr>
                <w:rFonts w:hint="eastAsia" w:ascii="楷体_GB2312" w:eastAsia="楷体_GB2312"/>
                <w:sz w:val="24"/>
              </w:rPr>
            </w:pPr>
            <w:r>
              <w:rPr>
                <w:rFonts w:hint="eastAsia" w:ascii="楷体_GB2312" w:eastAsia="楷体_GB2312"/>
                <w:sz w:val="24"/>
              </w:rPr>
              <w:t>接触人数</w:t>
            </w:r>
          </w:p>
        </w:tc>
        <w:tc>
          <w:tcPr>
            <w:tcW w:w="1650" w:type="dxa"/>
            <w:gridSpan w:val="2"/>
            <w:tcBorders>
              <w:top w:val="single" w:color="auto" w:sz="12" w:space="0"/>
            </w:tcBorders>
            <w:vAlign w:val="center"/>
          </w:tcPr>
          <w:p>
            <w:pPr>
              <w:jc w:val="center"/>
              <w:rPr>
                <w:rFonts w:hint="eastAsia" w:ascii="楷体_GB2312" w:eastAsia="楷体_GB2312"/>
                <w:sz w:val="24"/>
              </w:rPr>
            </w:pPr>
          </w:p>
        </w:tc>
        <w:tc>
          <w:tcPr>
            <w:tcW w:w="1942" w:type="dxa"/>
            <w:gridSpan w:val="2"/>
            <w:vMerge w:val="restart"/>
            <w:tcBorders>
              <w:top w:val="single" w:color="auto" w:sz="12" w:space="0"/>
              <w:right w:val="single" w:color="auto" w:sz="12" w:space="0"/>
            </w:tcBorders>
            <w:vAlign w:val="center"/>
          </w:tcPr>
          <w:p>
            <w:pPr>
              <w:jc w:val="center"/>
              <w:rPr>
                <w:rFonts w:hint="eastAsia" w:ascii="楷体_GB2312" w:eastAsia="楷体_GB2312"/>
                <w:sz w:val="24"/>
              </w:rPr>
            </w:pPr>
            <w:r>
              <w:rPr>
                <w:rFonts w:hint="eastAsia" w:ascii="楷体_GB2312" w:eastAsia="楷体_GB2312"/>
                <w:sz w:val="24"/>
              </w:rPr>
              <w:t>接触职业病危害</w:t>
            </w:r>
          </w:p>
          <w:p>
            <w:pPr>
              <w:jc w:val="center"/>
              <w:rPr>
                <w:rFonts w:hint="eastAsia" w:ascii="楷体_GB2312" w:eastAsia="楷体_GB2312"/>
                <w:sz w:val="24"/>
              </w:rPr>
            </w:pPr>
            <w:r>
              <w:rPr>
                <w:rFonts w:hint="eastAsia" w:ascii="楷体_GB2312" w:eastAsia="楷体_GB2312"/>
                <w:sz w:val="24"/>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exact"/>
          <w:jc w:val="center"/>
        </w:trPr>
        <w:tc>
          <w:tcPr>
            <w:tcW w:w="617" w:type="dxa"/>
            <w:vMerge w:val="continue"/>
            <w:tcBorders>
              <w:left w:val="single" w:color="auto" w:sz="12" w:space="0"/>
            </w:tcBorders>
            <w:vAlign w:val="center"/>
          </w:tcPr>
          <w:p>
            <w:pPr>
              <w:jc w:val="center"/>
              <w:rPr>
                <w:rFonts w:hint="eastAsia" w:ascii="楷体_GB2312" w:eastAsia="楷体_GB2312"/>
                <w:sz w:val="24"/>
              </w:rPr>
            </w:pPr>
          </w:p>
        </w:tc>
        <w:tc>
          <w:tcPr>
            <w:tcW w:w="2914" w:type="dxa"/>
            <w:gridSpan w:val="3"/>
            <w:vAlign w:val="center"/>
          </w:tcPr>
          <w:p>
            <w:pPr>
              <w:rPr>
                <w:rFonts w:hint="eastAsia" w:ascii="楷体_GB2312" w:eastAsia="楷体_GB2312"/>
                <w:sz w:val="24"/>
              </w:rPr>
            </w:pPr>
            <w:r>
              <w:rPr>
                <w:rFonts w:hint="eastAsia" w:ascii="楷体_GB2312" w:eastAsia="楷体_GB2312"/>
                <w:sz w:val="24"/>
              </w:rPr>
              <w:t>化学物质类   有○  无○</w:t>
            </w:r>
          </w:p>
        </w:tc>
        <w:tc>
          <w:tcPr>
            <w:tcW w:w="1399" w:type="dxa"/>
            <w:vAlign w:val="center"/>
          </w:tcPr>
          <w:p>
            <w:pPr>
              <w:ind w:left="42"/>
              <w:jc w:val="center"/>
              <w:rPr>
                <w:rFonts w:hint="eastAsia" w:ascii="楷体_GB2312" w:eastAsia="楷体_GB2312"/>
                <w:sz w:val="24"/>
              </w:rPr>
            </w:pPr>
            <w:r>
              <w:rPr>
                <w:rFonts w:hint="eastAsia" w:ascii="楷体_GB2312" w:eastAsia="楷体_GB2312"/>
                <w:sz w:val="24"/>
              </w:rPr>
              <w:t>接触人数</w:t>
            </w:r>
          </w:p>
        </w:tc>
        <w:tc>
          <w:tcPr>
            <w:tcW w:w="1650" w:type="dxa"/>
            <w:gridSpan w:val="2"/>
            <w:vAlign w:val="center"/>
          </w:tcPr>
          <w:p>
            <w:pPr>
              <w:ind w:left="42"/>
              <w:jc w:val="center"/>
              <w:rPr>
                <w:rFonts w:hint="eastAsia" w:ascii="楷体_GB2312" w:eastAsia="楷体_GB2312"/>
                <w:sz w:val="24"/>
              </w:rPr>
            </w:pPr>
          </w:p>
        </w:tc>
        <w:tc>
          <w:tcPr>
            <w:tcW w:w="1942" w:type="dxa"/>
            <w:gridSpan w:val="2"/>
            <w:vMerge w:val="continue"/>
            <w:tcBorders>
              <w:right w:val="single" w:color="auto" w:sz="12"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exact"/>
          <w:jc w:val="center"/>
        </w:trPr>
        <w:tc>
          <w:tcPr>
            <w:tcW w:w="617" w:type="dxa"/>
            <w:vMerge w:val="continue"/>
            <w:tcBorders>
              <w:left w:val="single" w:color="auto" w:sz="12" w:space="0"/>
            </w:tcBorders>
            <w:vAlign w:val="center"/>
          </w:tcPr>
          <w:p>
            <w:pPr>
              <w:jc w:val="center"/>
              <w:rPr>
                <w:rFonts w:hint="eastAsia" w:ascii="楷体_GB2312" w:eastAsia="楷体_GB2312"/>
                <w:sz w:val="24"/>
              </w:rPr>
            </w:pPr>
          </w:p>
        </w:tc>
        <w:tc>
          <w:tcPr>
            <w:tcW w:w="2914" w:type="dxa"/>
            <w:gridSpan w:val="3"/>
            <w:vAlign w:val="center"/>
          </w:tcPr>
          <w:p>
            <w:pPr>
              <w:rPr>
                <w:rFonts w:hint="eastAsia" w:ascii="楷体_GB2312" w:eastAsia="楷体_GB2312"/>
                <w:sz w:val="24"/>
              </w:rPr>
            </w:pPr>
            <w:r>
              <w:rPr>
                <w:rFonts w:hint="eastAsia" w:ascii="楷体_GB2312" w:eastAsia="楷体_GB2312"/>
                <w:sz w:val="24"/>
              </w:rPr>
              <w:t>物理因素类   有○  无○</w:t>
            </w:r>
          </w:p>
        </w:tc>
        <w:tc>
          <w:tcPr>
            <w:tcW w:w="1399" w:type="dxa"/>
            <w:vAlign w:val="center"/>
          </w:tcPr>
          <w:p>
            <w:pPr>
              <w:ind w:left="42"/>
              <w:jc w:val="center"/>
              <w:rPr>
                <w:rFonts w:hint="eastAsia" w:ascii="楷体_GB2312" w:eastAsia="楷体_GB2312"/>
                <w:sz w:val="24"/>
              </w:rPr>
            </w:pPr>
            <w:r>
              <w:rPr>
                <w:rFonts w:hint="eastAsia" w:ascii="楷体_GB2312" w:eastAsia="楷体_GB2312"/>
                <w:sz w:val="24"/>
              </w:rPr>
              <w:t>接触人数</w:t>
            </w:r>
          </w:p>
        </w:tc>
        <w:tc>
          <w:tcPr>
            <w:tcW w:w="1650" w:type="dxa"/>
            <w:gridSpan w:val="2"/>
            <w:vAlign w:val="center"/>
          </w:tcPr>
          <w:p>
            <w:pPr>
              <w:ind w:left="42"/>
              <w:jc w:val="center"/>
              <w:rPr>
                <w:rFonts w:hint="eastAsia" w:ascii="楷体_GB2312" w:eastAsia="楷体_GB2312"/>
                <w:sz w:val="24"/>
              </w:rPr>
            </w:pPr>
          </w:p>
        </w:tc>
        <w:tc>
          <w:tcPr>
            <w:tcW w:w="1942" w:type="dxa"/>
            <w:gridSpan w:val="2"/>
            <w:vMerge w:val="continue"/>
            <w:tcBorders>
              <w:right w:val="single" w:color="auto" w:sz="12"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exact"/>
          <w:jc w:val="center"/>
        </w:trPr>
        <w:tc>
          <w:tcPr>
            <w:tcW w:w="617" w:type="dxa"/>
            <w:vMerge w:val="continue"/>
            <w:tcBorders>
              <w:left w:val="single" w:color="auto" w:sz="12" w:space="0"/>
            </w:tcBorders>
            <w:vAlign w:val="center"/>
          </w:tcPr>
          <w:p>
            <w:pPr>
              <w:jc w:val="center"/>
              <w:rPr>
                <w:rFonts w:hint="eastAsia" w:ascii="楷体_GB2312" w:eastAsia="楷体_GB2312"/>
                <w:sz w:val="24"/>
              </w:rPr>
            </w:pPr>
          </w:p>
        </w:tc>
        <w:tc>
          <w:tcPr>
            <w:tcW w:w="2914" w:type="dxa"/>
            <w:gridSpan w:val="3"/>
            <w:vAlign w:val="center"/>
          </w:tcPr>
          <w:p>
            <w:pPr>
              <w:rPr>
                <w:rFonts w:hint="eastAsia" w:ascii="楷体_GB2312" w:eastAsia="楷体_GB2312"/>
                <w:sz w:val="24"/>
              </w:rPr>
            </w:pPr>
            <w:r>
              <w:rPr>
                <w:rFonts w:hint="eastAsia" w:ascii="楷体_GB2312" w:eastAsia="楷体_GB2312"/>
                <w:sz w:val="24"/>
              </w:rPr>
              <w:t>放射性物质类 有○  无○</w:t>
            </w:r>
          </w:p>
        </w:tc>
        <w:tc>
          <w:tcPr>
            <w:tcW w:w="1399" w:type="dxa"/>
            <w:vAlign w:val="center"/>
          </w:tcPr>
          <w:p>
            <w:pPr>
              <w:jc w:val="center"/>
              <w:rPr>
                <w:rFonts w:hint="eastAsia" w:ascii="楷体_GB2312" w:eastAsia="楷体_GB2312"/>
                <w:sz w:val="24"/>
              </w:rPr>
            </w:pPr>
            <w:r>
              <w:rPr>
                <w:rFonts w:hint="eastAsia" w:ascii="楷体_GB2312" w:eastAsia="楷体_GB2312"/>
                <w:sz w:val="24"/>
              </w:rPr>
              <w:t>接触人数</w:t>
            </w:r>
          </w:p>
        </w:tc>
        <w:tc>
          <w:tcPr>
            <w:tcW w:w="1650" w:type="dxa"/>
            <w:gridSpan w:val="2"/>
            <w:vAlign w:val="center"/>
          </w:tcPr>
          <w:p>
            <w:pPr>
              <w:jc w:val="center"/>
              <w:rPr>
                <w:rFonts w:hint="eastAsia" w:ascii="楷体_GB2312" w:eastAsia="楷体_GB2312"/>
                <w:sz w:val="24"/>
              </w:rPr>
            </w:pPr>
          </w:p>
        </w:tc>
        <w:tc>
          <w:tcPr>
            <w:tcW w:w="1942" w:type="dxa"/>
            <w:gridSpan w:val="2"/>
            <w:vMerge w:val="continue"/>
            <w:tcBorders>
              <w:right w:val="single" w:color="auto" w:sz="12"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exact"/>
          <w:jc w:val="center"/>
        </w:trPr>
        <w:tc>
          <w:tcPr>
            <w:tcW w:w="617" w:type="dxa"/>
            <w:vMerge w:val="continue"/>
            <w:tcBorders>
              <w:left w:val="single" w:color="auto" w:sz="12" w:space="0"/>
              <w:bottom w:val="single" w:color="auto" w:sz="12" w:space="0"/>
            </w:tcBorders>
            <w:vAlign w:val="center"/>
          </w:tcPr>
          <w:p>
            <w:pPr>
              <w:jc w:val="center"/>
              <w:rPr>
                <w:rFonts w:hint="eastAsia" w:ascii="楷体_GB2312" w:eastAsia="楷体_GB2312"/>
                <w:sz w:val="24"/>
              </w:rPr>
            </w:pPr>
          </w:p>
        </w:tc>
        <w:tc>
          <w:tcPr>
            <w:tcW w:w="2914" w:type="dxa"/>
            <w:gridSpan w:val="3"/>
            <w:tcBorders>
              <w:bottom w:val="single" w:color="auto" w:sz="12" w:space="0"/>
            </w:tcBorders>
            <w:vAlign w:val="center"/>
          </w:tcPr>
          <w:p>
            <w:pPr>
              <w:rPr>
                <w:rFonts w:hint="eastAsia" w:ascii="楷体_GB2312" w:eastAsia="楷体_GB2312"/>
                <w:sz w:val="24"/>
              </w:rPr>
            </w:pPr>
            <w:r>
              <w:rPr>
                <w:rFonts w:hint="eastAsia" w:ascii="楷体_GB2312" w:eastAsia="楷体_GB2312"/>
                <w:sz w:val="24"/>
              </w:rPr>
              <w:t>其他         有○  无○</w:t>
            </w:r>
          </w:p>
        </w:tc>
        <w:tc>
          <w:tcPr>
            <w:tcW w:w="1399" w:type="dxa"/>
            <w:tcBorders>
              <w:bottom w:val="single" w:color="auto" w:sz="12" w:space="0"/>
            </w:tcBorders>
            <w:vAlign w:val="center"/>
          </w:tcPr>
          <w:p>
            <w:pPr>
              <w:jc w:val="center"/>
              <w:rPr>
                <w:rFonts w:hint="eastAsia" w:ascii="楷体_GB2312" w:eastAsia="楷体_GB2312"/>
                <w:sz w:val="24"/>
              </w:rPr>
            </w:pPr>
            <w:r>
              <w:rPr>
                <w:rFonts w:hint="eastAsia" w:ascii="楷体_GB2312" w:eastAsia="楷体_GB2312"/>
                <w:sz w:val="24"/>
              </w:rPr>
              <w:t>接触人数</w:t>
            </w:r>
          </w:p>
        </w:tc>
        <w:tc>
          <w:tcPr>
            <w:tcW w:w="1650" w:type="dxa"/>
            <w:gridSpan w:val="2"/>
            <w:tcBorders>
              <w:bottom w:val="single" w:color="auto" w:sz="12" w:space="0"/>
            </w:tcBorders>
            <w:vAlign w:val="center"/>
          </w:tcPr>
          <w:p>
            <w:pPr>
              <w:jc w:val="center"/>
              <w:rPr>
                <w:rFonts w:hint="eastAsia" w:ascii="楷体_GB2312" w:eastAsia="楷体_GB2312"/>
                <w:sz w:val="24"/>
              </w:rPr>
            </w:pPr>
          </w:p>
        </w:tc>
        <w:tc>
          <w:tcPr>
            <w:tcW w:w="1942" w:type="dxa"/>
            <w:gridSpan w:val="2"/>
            <w:vMerge w:val="continue"/>
            <w:tcBorders>
              <w:bottom w:val="single" w:color="auto" w:sz="12" w:space="0"/>
              <w:right w:val="single" w:color="auto" w:sz="12"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4" w:hRule="exact"/>
          <w:jc w:val="center"/>
        </w:trPr>
        <w:tc>
          <w:tcPr>
            <w:tcW w:w="617" w:type="dxa"/>
            <w:vMerge w:val="restart"/>
            <w:tcBorders>
              <w:top w:val="single" w:color="auto" w:sz="12" w:space="0"/>
            </w:tcBorders>
            <w:vAlign w:val="center"/>
          </w:tcPr>
          <w:p>
            <w:pPr>
              <w:spacing w:line="400" w:lineRule="exact"/>
              <w:jc w:val="center"/>
              <w:rPr>
                <w:rFonts w:hint="eastAsia" w:ascii="仿宋_GB2312" w:hAnsi="Tahoma" w:cs="Tahoma"/>
                <w:kern w:val="0"/>
                <w:sz w:val="24"/>
              </w:rPr>
            </w:pPr>
            <w:r>
              <w:rPr>
                <w:rFonts w:hint="eastAsia" w:ascii="仿宋_GB2312" w:hAnsi="Tahoma" w:cs="Tahoma"/>
                <w:kern w:val="0"/>
                <w:sz w:val="24"/>
              </w:rPr>
              <w:t>职业病危害因素分布情况</w:t>
            </w:r>
          </w:p>
        </w:tc>
        <w:tc>
          <w:tcPr>
            <w:tcW w:w="1716" w:type="dxa"/>
            <w:gridSpan w:val="2"/>
            <w:tcBorders>
              <w:top w:val="single" w:color="auto" w:sz="12" w:space="0"/>
              <w:bottom w:val="single" w:color="auto" w:sz="4" w:space="0"/>
            </w:tcBorders>
            <w:vAlign w:val="center"/>
          </w:tcPr>
          <w:p>
            <w:pPr>
              <w:jc w:val="center"/>
              <w:rPr>
                <w:rFonts w:hint="eastAsia" w:ascii="楷体_GB2312" w:eastAsia="楷体_GB2312"/>
                <w:sz w:val="24"/>
              </w:rPr>
            </w:pPr>
            <w:r>
              <w:rPr>
                <w:rFonts w:hint="eastAsia" w:ascii="楷体_GB2312" w:eastAsia="楷体_GB2312"/>
                <w:sz w:val="24"/>
              </w:rPr>
              <w:t>作业场所名称</w:t>
            </w:r>
          </w:p>
        </w:tc>
        <w:tc>
          <w:tcPr>
            <w:tcW w:w="2597" w:type="dxa"/>
            <w:gridSpan w:val="2"/>
            <w:tcBorders>
              <w:top w:val="single" w:color="auto" w:sz="12" w:space="0"/>
              <w:bottom w:val="single" w:color="auto" w:sz="4" w:space="0"/>
            </w:tcBorders>
            <w:vAlign w:val="center"/>
          </w:tcPr>
          <w:p>
            <w:pPr>
              <w:jc w:val="center"/>
              <w:rPr>
                <w:rFonts w:hint="eastAsia" w:ascii="楷体_GB2312" w:eastAsia="楷体_GB2312"/>
                <w:sz w:val="24"/>
              </w:rPr>
            </w:pPr>
            <w:r>
              <w:rPr>
                <w:rFonts w:hint="eastAsia" w:ascii="楷体_GB2312" w:eastAsia="楷体_GB2312"/>
                <w:sz w:val="24"/>
              </w:rPr>
              <w:t>职业病危害因素名称</w:t>
            </w:r>
          </w:p>
        </w:tc>
        <w:tc>
          <w:tcPr>
            <w:tcW w:w="1178" w:type="dxa"/>
            <w:tcBorders>
              <w:top w:val="single" w:color="auto" w:sz="12" w:space="0"/>
              <w:bottom w:val="single" w:color="auto" w:sz="4" w:space="0"/>
              <w:right w:val="single" w:color="auto" w:sz="12" w:space="0"/>
            </w:tcBorders>
            <w:vAlign w:val="center"/>
          </w:tcPr>
          <w:p>
            <w:pPr>
              <w:spacing w:line="400" w:lineRule="exact"/>
              <w:rPr>
                <w:rFonts w:hint="eastAsia" w:ascii="仿宋_GB2312" w:hAnsi="Tahoma" w:cs="Tahoma"/>
                <w:kern w:val="0"/>
                <w:sz w:val="24"/>
              </w:rPr>
            </w:pPr>
            <w:r>
              <w:rPr>
                <w:rFonts w:hint="eastAsia" w:ascii="仿宋_GB2312" w:hAnsi="Tahoma" w:cs="Tahoma"/>
                <w:kern w:val="0"/>
                <w:sz w:val="24"/>
              </w:rPr>
              <w:t>接触人数(可重复)</w:t>
            </w:r>
          </w:p>
        </w:tc>
        <w:tc>
          <w:tcPr>
            <w:tcW w:w="2414" w:type="dxa"/>
            <w:gridSpan w:val="3"/>
            <w:tcBorders>
              <w:top w:val="single" w:color="auto" w:sz="12" w:space="0"/>
              <w:left w:val="single" w:color="auto" w:sz="12" w:space="0"/>
              <w:bottom w:val="single" w:color="auto" w:sz="4" w:space="0"/>
            </w:tcBorders>
            <w:vAlign w:val="center"/>
          </w:tcPr>
          <w:p>
            <w:pPr>
              <w:jc w:val="center"/>
              <w:rPr>
                <w:rFonts w:hint="eastAsia" w:ascii="楷体_GB2312" w:eastAsia="楷体_GB2312"/>
                <w:sz w:val="24"/>
              </w:rPr>
            </w:pPr>
            <w:r>
              <w:rPr>
                <w:rFonts w:hint="eastAsia" w:ascii="楷体_GB2312" w:eastAsia="楷体_GB2312"/>
                <w:sz w:val="24"/>
              </w:rPr>
              <w:t>接触人数（不重复）</w:t>
            </w:r>
          </w:p>
          <w:p>
            <w:pPr>
              <w:jc w:val="center"/>
              <w:rPr>
                <w:rFonts w:hint="eastAsia" w:ascii="楷体_GB2312" w:eastAsia="楷体_GB2312"/>
                <w:sz w:val="24"/>
              </w:rPr>
            </w:pPr>
          </w:p>
          <w:p>
            <w:pPr>
              <w:jc w:val="center"/>
              <w:rPr>
                <w:rFonts w:hint="eastAsia" w:ascii="楷体_GB2312" w:eastAsia="楷体_GB2312"/>
                <w:sz w:val="24"/>
              </w:rPr>
            </w:pPr>
            <w:r>
              <w:rPr>
                <w:rFonts w:hint="eastAsia" w:ascii="楷体_GB2312" w:eastAsia="楷体_GB2312"/>
                <w:sz w:val="24"/>
              </w:rPr>
              <w:t>因素人数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restart"/>
            <w:vAlign w:val="center"/>
          </w:tcPr>
          <w:p>
            <w:pPr>
              <w:jc w:val="center"/>
              <w:rPr>
                <w:rFonts w:hint="eastAsia" w:ascii="楷体_GB2312" w:eastAsia="楷体_GB2312"/>
                <w:sz w:val="24"/>
              </w:rPr>
            </w:pPr>
            <w:r>
              <w:rPr>
                <w:rFonts w:hint="eastAsia" w:ascii="楷体_GB2312" w:eastAsia="楷体_GB2312"/>
                <w:sz w:val="24"/>
              </w:rPr>
              <w:t>（作业场所1）</w:t>
            </w:r>
          </w:p>
          <w:p>
            <w:pPr>
              <w:jc w:val="center"/>
              <w:rPr>
                <w:rFonts w:hint="eastAsia" w:ascii="楷体_GB2312" w:eastAsia="楷体_GB2312"/>
                <w:sz w:val="24"/>
              </w:rPr>
            </w:pPr>
          </w:p>
        </w:tc>
        <w:tc>
          <w:tcPr>
            <w:tcW w:w="2597" w:type="dxa"/>
            <w:gridSpan w:val="2"/>
            <w:tcBorders>
              <w:bottom w:val="single" w:color="auto" w:sz="4" w:space="0"/>
            </w:tcBorders>
            <w:vAlign w:val="center"/>
          </w:tcPr>
          <w:p>
            <w:pPr>
              <w:jc w:val="center"/>
              <w:rPr>
                <w:rFonts w:hint="eastAsia" w:ascii="楷体_GB2312" w:eastAsia="楷体_GB2312"/>
                <w:sz w:val="24"/>
              </w:rPr>
            </w:pPr>
          </w:p>
        </w:tc>
        <w:tc>
          <w:tcPr>
            <w:tcW w:w="1178" w:type="dxa"/>
            <w:tcBorders>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restart"/>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continue"/>
            <w:vAlign w:val="center"/>
          </w:tcPr>
          <w:p>
            <w:pPr>
              <w:jc w:val="center"/>
              <w:rPr>
                <w:rFonts w:hint="eastAsia" w:ascii="楷体_GB2312" w:eastAsia="楷体_GB2312"/>
                <w:sz w:val="24"/>
              </w:rPr>
            </w:pPr>
          </w:p>
        </w:tc>
        <w:tc>
          <w:tcPr>
            <w:tcW w:w="2597" w:type="dxa"/>
            <w:gridSpan w:val="2"/>
            <w:tcBorders>
              <w:top w:val="single" w:color="auto" w:sz="4" w:space="0"/>
              <w:bottom w:val="single" w:color="auto" w:sz="4" w:space="0"/>
            </w:tcBorders>
            <w:vAlign w:val="center"/>
          </w:tcPr>
          <w:p>
            <w:pPr>
              <w:jc w:val="center"/>
              <w:rPr>
                <w:rFonts w:hint="eastAsia" w:ascii="楷体_GB2312" w:eastAsia="楷体_GB2312"/>
                <w:sz w:val="24"/>
              </w:rPr>
            </w:pPr>
          </w:p>
        </w:tc>
        <w:tc>
          <w:tcPr>
            <w:tcW w:w="1178" w:type="dxa"/>
            <w:tcBorders>
              <w:top w:val="single" w:color="auto" w:sz="4" w:space="0"/>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continue"/>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continue"/>
            <w:vAlign w:val="center"/>
          </w:tcPr>
          <w:p>
            <w:pPr>
              <w:jc w:val="center"/>
              <w:rPr>
                <w:rFonts w:hint="eastAsia" w:ascii="楷体_GB2312" w:eastAsia="楷体_GB2312"/>
                <w:sz w:val="24"/>
              </w:rPr>
            </w:pPr>
          </w:p>
        </w:tc>
        <w:tc>
          <w:tcPr>
            <w:tcW w:w="2597" w:type="dxa"/>
            <w:gridSpan w:val="2"/>
            <w:tcBorders>
              <w:top w:val="single" w:color="auto" w:sz="4" w:space="0"/>
              <w:bottom w:val="single" w:color="auto" w:sz="4" w:space="0"/>
            </w:tcBorders>
            <w:vAlign w:val="center"/>
          </w:tcPr>
          <w:p>
            <w:pPr>
              <w:jc w:val="center"/>
              <w:rPr>
                <w:rFonts w:hint="eastAsia" w:ascii="楷体_GB2312" w:eastAsia="楷体_GB2312"/>
                <w:sz w:val="24"/>
              </w:rPr>
            </w:pPr>
          </w:p>
        </w:tc>
        <w:tc>
          <w:tcPr>
            <w:tcW w:w="1178" w:type="dxa"/>
            <w:tcBorders>
              <w:top w:val="single" w:color="auto" w:sz="4" w:space="0"/>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continue"/>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continue"/>
            <w:vAlign w:val="center"/>
          </w:tcPr>
          <w:p>
            <w:pPr>
              <w:jc w:val="center"/>
              <w:rPr>
                <w:rFonts w:hint="eastAsia" w:ascii="楷体_GB2312" w:eastAsia="楷体_GB2312"/>
                <w:sz w:val="24"/>
              </w:rPr>
            </w:pPr>
          </w:p>
        </w:tc>
        <w:tc>
          <w:tcPr>
            <w:tcW w:w="2597" w:type="dxa"/>
            <w:gridSpan w:val="2"/>
            <w:tcBorders>
              <w:top w:val="single" w:color="auto" w:sz="4" w:space="0"/>
              <w:bottom w:val="single" w:color="auto" w:sz="4" w:space="0"/>
            </w:tcBorders>
            <w:vAlign w:val="center"/>
          </w:tcPr>
          <w:p>
            <w:pPr>
              <w:jc w:val="center"/>
              <w:rPr>
                <w:rFonts w:hint="eastAsia" w:ascii="楷体_GB2312" w:eastAsia="楷体_GB2312"/>
                <w:sz w:val="24"/>
              </w:rPr>
            </w:pPr>
            <w:r>
              <w:rPr>
                <w:rFonts w:hint="eastAsia" w:ascii="楷体_GB2312" w:eastAsia="楷体_GB2312"/>
                <w:sz w:val="24"/>
              </w:rPr>
              <w:t>…</w:t>
            </w:r>
          </w:p>
          <w:p>
            <w:pPr>
              <w:jc w:val="center"/>
              <w:rPr>
                <w:rFonts w:hint="eastAsia" w:ascii="楷体_GB2312" w:eastAsia="楷体_GB2312"/>
                <w:sz w:val="24"/>
              </w:rPr>
            </w:pPr>
          </w:p>
        </w:tc>
        <w:tc>
          <w:tcPr>
            <w:tcW w:w="1178" w:type="dxa"/>
            <w:tcBorders>
              <w:top w:val="single" w:color="auto" w:sz="4" w:space="0"/>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continue"/>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restart"/>
            <w:vAlign w:val="center"/>
          </w:tcPr>
          <w:p>
            <w:pPr>
              <w:jc w:val="center"/>
              <w:rPr>
                <w:rFonts w:hint="eastAsia" w:ascii="楷体_GB2312" w:eastAsia="楷体_GB2312"/>
                <w:sz w:val="24"/>
              </w:rPr>
            </w:pPr>
            <w:r>
              <w:rPr>
                <w:rFonts w:hint="eastAsia" w:ascii="楷体_GB2312" w:eastAsia="楷体_GB2312"/>
                <w:sz w:val="24"/>
              </w:rPr>
              <w:t>（作业场所2）</w:t>
            </w:r>
          </w:p>
          <w:p>
            <w:pPr>
              <w:jc w:val="center"/>
              <w:rPr>
                <w:rFonts w:hint="eastAsia" w:ascii="楷体_GB2312" w:eastAsia="楷体_GB2312"/>
                <w:sz w:val="24"/>
              </w:rPr>
            </w:pPr>
          </w:p>
        </w:tc>
        <w:tc>
          <w:tcPr>
            <w:tcW w:w="2597" w:type="dxa"/>
            <w:gridSpan w:val="2"/>
            <w:tcBorders>
              <w:bottom w:val="single" w:color="auto" w:sz="4" w:space="0"/>
            </w:tcBorders>
            <w:vAlign w:val="center"/>
          </w:tcPr>
          <w:p>
            <w:pPr>
              <w:jc w:val="center"/>
              <w:rPr>
                <w:rFonts w:hint="eastAsia" w:ascii="楷体_GB2312" w:eastAsia="楷体_GB2312"/>
                <w:sz w:val="24"/>
              </w:rPr>
            </w:pPr>
          </w:p>
        </w:tc>
        <w:tc>
          <w:tcPr>
            <w:tcW w:w="1178" w:type="dxa"/>
            <w:tcBorders>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restart"/>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continue"/>
            <w:vAlign w:val="center"/>
          </w:tcPr>
          <w:p>
            <w:pPr>
              <w:jc w:val="center"/>
              <w:rPr>
                <w:rFonts w:hint="eastAsia" w:ascii="楷体_GB2312" w:eastAsia="楷体_GB2312"/>
                <w:sz w:val="24"/>
              </w:rPr>
            </w:pPr>
          </w:p>
        </w:tc>
        <w:tc>
          <w:tcPr>
            <w:tcW w:w="2597" w:type="dxa"/>
            <w:gridSpan w:val="2"/>
            <w:tcBorders>
              <w:top w:val="single" w:color="auto" w:sz="4" w:space="0"/>
              <w:bottom w:val="single" w:color="auto" w:sz="4" w:space="0"/>
            </w:tcBorders>
            <w:vAlign w:val="center"/>
          </w:tcPr>
          <w:p>
            <w:pPr>
              <w:jc w:val="center"/>
              <w:rPr>
                <w:rFonts w:hint="eastAsia" w:ascii="楷体_GB2312" w:eastAsia="楷体_GB2312"/>
                <w:sz w:val="24"/>
              </w:rPr>
            </w:pPr>
          </w:p>
        </w:tc>
        <w:tc>
          <w:tcPr>
            <w:tcW w:w="1178" w:type="dxa"/>
            <w:tcBorders>
              <w:top w:val="single" w:color="auto" w:sz="4" w:space="0"/>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continue"/>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continue"/>
            <w:vAlign w:val="center"/>
          </w:tcPr>
          <w:p>
            <w:pPr>
              <w:jc w:val="center"/>
              <w:rPr>
                <w:rFonts w:hint="eastAsia" w:ascii="楷体_GB2312" w:eastAsia="楷体_GB2312"/>
                <w:sz w:val="24"/>
              </w:rPr>
            </w:pPr>
          </w:p>
        </w:tc>
        <w:tc>
          <w:tcPr>
            <w:tcW w:w="2597" w:type="dxa"/>
            <w:gridSpan w:val="2"/>
            <w:tcBorders>
              <w:top w:val="single" w:color="auto" w:sz="4" w:space="0"/>
              <w:bottom w:val="single" w:color="auto" w:sz="4" w:space="0"/>
            </w:tcBorders>
            <w:vAlign w:val="center"/>
          </w:tcPr>
          <w:p>
            <w:pPr>
              <w:jc w:val="center"/>
              <w:rPr>
                <w:rFonts w:hint="eastAsia" w:ascii="楷体_GB2312" w:eastAsia="楷体_GB2312"/>
                <w:sz w:val="24"/>
              </w:rPr>
            </w:pPr>
          </w:p>
        </w:tc>
        <w:tc>
          <w:tcPr>
            <w:tcW w:w="1178" w:type="dxa"/>
            <w:tcBorders>
              <w:top w:val="single" w:color="auto" w:sz="4" w:space="0"/>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continue"/>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continue"/>
            <w:vAlign w:val="center"/>
          </w:tcPr>
          <w:p>
            <w:pPr>
              <w:jc w:val="center"/>
              <w:rPr>
                <w:rFonts w:hint="eastAsia" w:ascii="楷体_GB2312" w:eastAsia="楷体_GB2312"/>
                <w:sz w:val="24"/>
              </w:rPr>
            </w:pPr>
          </w:p>
        </w:tc>
        <w:tc>
          <w:tcPr>
            <w:tcW w:w="2597" w:type="dxa"/>
            <w:gridSpan w:val="2"/>
            <w:tcBorders>
              <w:top w:val="single" w:color="auto" w:sz="4" w:space="0"/>
            </w:tcBorders>
            <w:vAlign w:val="center"/>
          </w:tcPr>
          <w:p>
            <w:pPr>
              <w:jc w:val="center"/>
              <w:rPr>
                <w:rFonts w:hint="eastAsia" w:ascii="楷体_GB2312" w:eastAsia="楷体_GB2312"/>
                <w:sz w:val="24"/>
              </w:rPr>
            </w:pPr>
            <w:r>
              <w:rPr>
                <w:rFonts w:hint="eastAsia" w:ascii="楷体_GB2312" w:eastAsia="楷体_GB2312"/>
                <w:sz w:val="24"/>
              </w:rPr>
              <w:t>…</w:t>
            </w:r>
          </w:p>
          <w:p>
            <w:pPr>
              <w:jc w:val="center"/>
              <w:rPr>
                <w:rFonts w:hint="eastAsia" w:ascii="楷体_GB2312" w:eastAsia="楷体_GB2312"/>
                <w:sz w:val="24"/>
              </w:rPr>
            </w:pPr>
          </w:p>
        </w:tc>
        <w:tc>
          <w:tcPr>
            <w:tcW w:w="1178" w:type="dxa"/>
            <w:tcBorders>
              <w:top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continue"/>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restart"/>
            <w:vAlign w:val="center"/>
          </w:tcPr>
          <w:p>
            <w:pPr>
              <w:jc w:val="center"/>
              <w:rPr>
                <w:rFonts w:hint="eastAsia" w:ascii="楷体_GB2312" w:eastAsia="楷体_GB2312"/>
                <w:sz w:val="24"/>
              </w:rPr>
            </w:pPr>
            <w:r>
              <w:rPr>
                <w:rFonts w:hint="eastAsia" w:ascii="楷体_GB2312" w:eastAsia="楷体_GB2312"/>
                <w:sz w:val="24"/>
              </w:rPr>
              <w:t>…</w:t>
            </w:r>
          </w:p>
          <w:p>
            <w:pPr>
              <w:jc w:val="center"/>
              <w:rPr>
                <w:rFonts w:hint="eastAsia" w:ascii="楷体_GB2312" w:eastAsia="楷体_GB2312"/>
                <w:sz w:val="24"/>
              </w:rPr>
            </w:pPr>
          </w:p>
        </w:tc>
        <w:tc>
          <w:tcPr>
            <w:tcW w:w="2597" w:type="dxa"/>
            <w:gridSpan w:val="2"/>
            <w:tcBorders>
              <w:bottom w:val="single" w:color="auto" w:sz="4" w:space="0"/>
            </w:tcBorders>
            <w:vAlign w:val="center"/>
          </w:tcPr>
          <w:p>
            <w:pPr>
              <w:jc w:val="center"/>
              <w:rPr>
                <w:rFonts w:hint="eastAsia" w:ascii="楷体_GB2312" w:eastAsia="楷体_GB2312"/>
                <w:sz w:val="24"/>
              </w:rPr>
            </w:pPr>
          </w:p>
        </w:tc>
        <w:tc>
          <w:tcPr>
            <w:tcW w:w="1178" w:type="dxa"/>
            <w:tcBorders>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restart"/>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continue"/>
            <w:vAlign w:val="center"/>
          </w:tcPr>
          <w:p>
            <w:pPr>
              <w:jc w:val="center"/>
              <w:rPr>
                <w:rFonts w:hint="eastAsia" w:ascii="楷体_GB2312" w:eastAsia="楷体_GB2312"/>
                <w:sz w:val="24"/>
              </w:rPr>
            </w:pPr>
          </w:p>
        </w:tc>
        <w:tc>
          <w:tcPr>
            <w:tcW w:w="2597" w:type="dxa"/>
            <w:gridSpan w:val="2"/>
            <w:tcBorders>
              <w:top w:val="single" w:color="auto" w:sz="4" w:space="0"/>
              <w:bottom w:val="single" w:color="auto" w:sz="4" w:space="0"/>
            </w:tcBorders>
            <w:vAlign w:val="center"/>
          </w:tcPr>
          <w:p>
            <w:pPr>
              <w:jc w:val="center"/>
              <w:rPr>
                <w:rFonts w:hint="eastAsia" w:ascii="楷体_GB2312" w:eastAsia="楷体_GB2312"/>
                <w:sz w:val="24"/>
              </w:rPr>
            </w:pPr>
          </w:p>
        </w:tc>
        <w:tc>
          <w:tcPr>
            <w:tcW w:w="1178" w:type="dxa"/>
            <w:tcBorders>
              <w:top w:val="single" w:color="auto" w:sz="4" w:space="0"/>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continue"/>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continue"/>
            <w:vAlign w:val="center"/>
          </w:tcPr>
          <w:p>
            <w:pPr>
              <w:jc w:val="center"/>
              <w:rPr>
                <w:rFonts w:hint="eastAsia" w:ascii="楷体_GB2312" w:eastAsia="楷体_GB2312"/>
                <w:sz w:val="24"/>
              </w:rPr>
            </w:pPr>
          </w:p>
        </w:tc>
        <w:tc>
          <w:tcPr>
            <w:tcW w:w="2597" w:type="dxa"/>
            <w:gridSpan w:val="2"/>
            <w:tcBorders>
              <w:top w:val="single" w:color="auto" w:sz="4" w:space="0"/>
              <w:bottom w:val="single" w:color="auto" w:sz="4" w:space="0"/>
            </w:tcBorders>
            <w:vAlign w:val="center"/>
          </w:tcPr>
          <w:p>
            <w:pPr>
              <w:jc w:val="center"/>
              <w:rPr>
                <w:rFonts w:hint="eastAsia" w:ascii="楷体_GB2312" w:eastAsia="楷体_GB2312"/>
                <w:sz w:val="24"/>
              </w:rPr>
            </w:pPr>
          </w:p>
        </w:tc>
        <w:tc>
          <w:tcPr>
            <w:tcW w:w="1178" w:type="dxa"/>
            <w:tcBorders>
              <w:top w:val="single" w:color="auto" w:sz="4" w:space="0"/>
              <w:bottom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continue"/>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jc w:val="center"/>
              <w:rPr>
                <w:rFonts w:hint="eastAsia" w:ascii="楷体_GB2312" w:eastAsia="楷体_GB2312"/>
                <w:sz w:val="24"/>
              </w:rPr>
            </w:pPr>
          </w:p>
        </w:tc>
        <w:tc>
          <w:tcPr>
            <w:tcW w:w="1716" w:type="dxa"/>
            <w:gridSpan w:val="2"/>
            <w:vMerge w:val="continue"/>
            <w:vAlign w:val="center"/>
          </w:tcPr>
          <w:p>
            <w:pPr>
              <w:jc w:val="center"/>
              <w:rPr>
                <w:rFonts w:hint="eastAsia" w:ascii="楷体_GB2312" w:eastAsia="楷体_GB2312"/>
                <w:sz w:val="24"/>
              </w:rPr>
            </w:pPr>
          </w:p>
        </w:tc>
        <w:tc>
          <w:tcPr>
            <w:tcW w:w="2597" w:type="dxa"/>
            <w:gridSpan w:val="2"/>
            <w:tcBorders>
              <w:top w:val="single" w:color="auto" w:sz="4" w:space="0"/>
            </w:tcBorders>
            <w:vAlign w:val="center"/>
          </w:tcPr>
          <w:p>
            <w:pPr>
              <w:jc w:val="center"/>
              <w:rPr>
                <w:rFonts w:hint="eastAsia" w:ascii="楷体_GB2312" w:eastAsia="楷体_GB2312"/>
                <w:sz w:val="24"/>
              </w:rPr>
            </w:pPr>
            <w:r>
              <w:rPr>
                <w:rFonts w:hint="eastAsia" w:ascii="楷体_GB2312" w:eastAsia="楷体_GB2312"/>
                <w:sz w:val="24"/>
              </w:rPr>
              <w:t>…</w:t>
            </w:r>
          </w:p>
          <w:p>
            <w:pPr>
              <w:jc w:val="center"/>
              <w:rPr>
                <w:rFonts w:hint="eastAsia" w:ascii="楷体_GB2312" w:eastAsia="楷体_GB2312"/>
                <w:sz w:val="24"/>
              </w:rPr>
            </w:pPr>
          </w:p>
        </w:tc>
        <w:tc>
          <w:tcPr>
            <w:tcW w:w="1178" w:type="dxa"/>
            <w:tcBorders>
              <w:top w:val="single" w:color="auto" w:sz="4" w:space="0"/>
              <w:right w:val="single" w:color="auto" w:sz="4" w:space="0"/>
            </w:tcBorders>
            <w:vAlign w:val="center"/>
          </w:tcPr>
          <w:p>
            <w:pPr>
              <w:jc w:val="center"/>
              <w:rPr>
                <w:rFonts w:hint="eastAsia" w:ascii="楷体_GB2312" w:eastAsia="楷体_GB2312"/>
                <w:sz w:val="24"/>
              </w:rPr>
            </w:pPr>
          </w:p>
        </w:tc>
        <w:tc>
          <w:tcPr>
            <w:tcW w:w="2414" w:type="dxa"/>
            <w:gridSpan w:val="3"/>
            <w:vMerge w:val="continue"/>
            <w:tcBorders>
              <w:left w:val="single" w:color="auto" w:sz="4" w:space="0"/>
            </w:tcBorders>
            <w:vAlign w:val="center"/>
          </w:tcPr>
          <w:p>
            <w:pPr>
              <w:jc w:val="center"/>
              <w:rPr>
                <w:rFonts w:hint="eastAsia"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617" w:type="dxa"/>
            <w:vMerge w:val="continue"/>
            <w:vAlign w:val="center"/>
          </w:tcPr>
          <w:p>
            <w:pPr>
              <w:rPr>
                <w:rFonts w:hint="eastAsia" w:ascii="楷体_GB2312" w:eastAsia="楷体_GB2312"/>
                <w:b/>
                <w:sz w:val="24"/>
              </w:rPr>
            </w:pPr>
          </w:p>
        </w:tc>
        <w:tc>
          <w:tcPr>
            <w:tcW w:w="5491" w:type="dxa"/>
            <w:gridSpan w:val="5"/>
            <w:tcBorders>
              <w:right w:val="single" w:color="auto" w:sz="4" w:space="0"/>
            </w:tcBorders>
            <w:vAlign w:val="center"/>
          </w:tcPr>
          <w:p>
            <w:pPr>
              <w:jc w:val="center"/>
              <w:rPr>
                <w:rFonts w:hint="eastAsia" w:ascii="楷体_GB2312" w:eastAsia="楷体_GB2312"/>
                <w:sz w:val="24"/>
              </w:rPr>
            </w:pPr>
            <w:r>
              <w:rPr>
                <w:rFonts w:hint="eastAsia" w:ascii="楷体_GB2312" w:eastAsia="楷体_GB2312"/>
                <w:b/>
                <w:sz w:val="24"/>
              </w:rPr>
              <w:t>合计</w:t>
            </w:r>
          </w:p>
        </w:tc>
        <w:tc>
          <w:tcPr>
            <w:tcW w:w="2414" w:type="dxa"/>
            <w:gridSpan w:val="3"/>
            <w:tcBorders>
              <w:left w:val="single" w:color="auto" w:sz="4" w:space="0"/>
            </w:tcBorders>
            <w:vAlign w:val="center"/>
          </w:tcPr>
          <w:p>
            <w:pPr>
              <w:jc w:val="center"/>
              <w:rPr>
                <w:rFonts w:hint="eastAsia" w:ascii="楷体_GB2312" w:eastAsia="楷体_GB2312"/>
                <w:sz w:val="24"/>
              </w:rPr>
            </w:pPr>
          </w:p>
        </w:tc>
      </w:tr>
    </w:tbl>
    <w:p>
      <w:pPr>
        <w:spacing w:line="460" w:lineRule="exact"/>
        <w:jc w:val="center"/>
        <w:rPr>
          <w:rFonts w:hint="eastAsia" w:ascii="仿宋" w:hAnsi="仿宋" w:eastAsia="仿宋"/>
          <w:b/>
          <w:bCs/>
          <w:sz w:val="36"/>
          <w:szCs w:val="36"/>
        </w:rPr>
      </w:pPr>
      <w:r>
        <w:rPr>
          <w:rFonts w:ascii="仿宋" w:hAnsi="仿宋" w:eastAsia="仿宋"/>
          <w:b/>
          <w:bCs/>
          <w:sz w:val="36"/>
          <w:szCs w:val="36"/>
        </w:rPr>
        <w:br w:type="page"/>
      </w:r>
    </w:p>
    <w:p>
      <w:pPr>
        <w:spacing w:line="460" w:lineRule="exact"/>
        <w:jc w:val="center"/>
        <w:rPr>
          <w:rFonts w:hint="eastAsia" w:ascii="仿宋" w:hAnsi="仿宋" w:eastAsia="仿宋"/>
          <w:b/>
          <w:bCs/>
          <w:sz w:val="36"/>
          <w:szCs w:val="36"/>
        </w:rPr>
      </w:pPr>
      <w:r>
        <w:rPr>
          <w:rFonts w:hint="eastAsia" w:ascii="仿宋" w:hAnsi="仿宋" w:eastAsia="仿宋"/>
          <w:b/>
          <w:bCs/>
          <w:sz w:val="36"/>
          <w:szCs w:val="36"/>
        </w:rPr>
        <w:t>填表说明</w:t>
      </w:r>
    </w:p>
    <w:p>
      <w:pPr>
        <w:widowControl/>
        <w:jc w:val="center"/>
        <w:rPr>
          <w:rFonts w:hint="eastAsia" w:ascii="仿宋" w:hAnsi="仿宋" w:eastAsia="仿宋"/>
          <w:b/>
          <w:sz w:val="32"/>
        </w:rPr>
      </w:pPr>
    </w:p>
    <w:p>
      <w:pPr>
        <w:widowControl/>
        <w:numPr>
          <w:ilvl w:val="0"/>
          <w:numId w:val="1"/>
        </w:numPr>
        <w:spacing w:line="360" w:lineRule="auto"/>
        <w:rPr>
          <w:rFonts w:ascii="仿宋" w:hAnsi="仿宋" w:eastAsia="仿宋"/>
        </w:rPr>
      </w:pPr>
      <w:r>
        <w:rPr>
          <w:rFonts w:ascii="仿宋" w:hAnsi="仿宋" w:eastAsia="仿宋"/>
        </w:rPr>
        <w:t>【</w:t>
      </w:r>
      <w:r>
        <w:rPr>
          <w:rFonts w:hint="eastAsia" w:ascii="仿宋" w:hAnsi="仿宋" w:eastAsia="仿宋"/>
        </w:rPr>
        <w:t>申报</w:t>
      </w:r>
      <w:r>
        <w:rPr>
          <w:rFonts w:ascii="仿宋" w:hAnsi="仿宋" w:eastAsia="仿宋"/>
        </w:rPr>
        <w:t>类别】是指第一次申报还是变更申报。如是变更申报，需要填写【变更原因】。</w:t>
      </w:r>
    </w:p>
    <w:p>
      <w:pPr>
        <w:widowControl/>
        <w:numPr>
          <w:ilvl w:val="0"/>
          <w:numId w:val="1"/>
        </w:numPr>
        <w:spacing w:line="360" w:lineRule="auto"/>
        <w:rPr>
          <w:rFonts w:hint="eastAsia" w:ascii="仿宋" w:hAnsi="仿宋" w:eastAsia="仿宋"/>
        </w:rPr>
      </w:pPr>
      <w:r>
        <w:rPr>
          <w:rFonts w:ascii="仿宋" w:hAnsi="仿宋" w:eastAsia="仿宋"/>
        </w:rPr>
        <w:t>【变更原因】</w:t>
      </w:r>
      <w:r>
        <w:rPr>
          <w:rFonts w:hint="eastAsia" w:ascii="仿宋" w:hAnsi="仿宋" w:eastAsia="仿宋"/>
        </w:rPr>
        <w:t>按第八条的内容简要填写。</w:t>
      </w:r>
    </w:p>
    <w:p>
      <w:pPr>
        <w:widowControl/>
        <w:numPr>
          <w:ilvl w:val="0"/>
          <w:numId w:val="1"/>
        </w:numPr>
        <w:spacing w:line="360" w:lineRule="auto"/>
        <w:rPr>
          <w:rFonts w:hint="eastAsia" w:ascii="仿宋" w:hAnsi="仿宋" w:eastAsia="仿宋"/>
        </w:rPr>
      </w:pPr>
      <w:r>
        <w:rPr>
          <w:rFonts w:ascii="仿宋" w:hAnsi="仿宋" w:eastAsia="仿宋"/>
        </w:rPr>
        <w:t>【</w:t>
      </w:r>
      <w:r>
        <w:rPr>
          <w:rFonts w:hint="eastAsia" w:ascii="仿宋" w:hAnsi="仿宋" w:eastAsia="仿宋"/>
        </w:rPr>
        <w:t>单位注册地址</w:t>
      </w:r>
      <w:r>
        <w:rPr>
          <w:rFonts w:ascii="仿宋" w:hAnsi="仿宋" w:eastAsia="仿宋"/>
        </w:rPr>
        <w:t>】</w:t>
      </w:r>
      <w:r>
        <w:rPr>
          <w:rFonts w:hint="eastAsia" w:ascii="仿宋" w:hAnsi="仿宋" w:eastAsia="仿宋"/>
        </w:rPr>
        <w:t>指单位工商注册的地址。</w:t>
      </w:r>
    </w:p>
    <w:p>
      <w:pPr>
        <w:widowControl/>
        <w:numPr>
          <w:ilvl w:val="0"/>
          <w:numId w:val="1"/>
        </w:numPr>
        <w:spacing w:line="360" w:lineRule="auto"/>
        <w:rPr>
          <w:rFonts w:hint="eastAsia" w:ascii="仿宋" w:hAnsi="仿宋" w:eastAsia="仿宋"/>
        </w:rPr>
      </w:pPr>
      <w:r>
        <w:rPr>
          <w:rFonts w:ascii="仿宋" w:hAnsi="仿宋" w:eastAsia="仿宋"/>
        </w:rPr>
        <w:t>【</w:t>
      </w:r>
      <w:r>
        <w:rPr>
          <w:rFonts w:hint="eastAsia" w:ascii="仿宋" w:hAnsi="仿宋" w:eastAsia="仿宋"/>
        </w:rPr>
        <w:t>工作场所地址</w:t>
      </w:r>
      <w:r>
        <w:rPr>
          <w:rFonts w:ascii="仿宋" w:hAnsi="仿宋" w:eastAsia="仿宋"/>
        </w:rPr>
        <w:t>】</w:t>
      </w:r>
      <w:r>
        <w:rPr>
          <w:rFonts w:hint="eastAsia" w:ascii="仿宋" w:hAnsi="仿宋" w:eastAsia="仿宋"/>
        </w:rPr>
        <w:t>指用人单位从事职业活动的地点。</w:t>
      </w:r>
    </w:p>
    <w:p>
      <w:pPr>
        <w:widowControl/>
        <w:numPr>
          <w:ilvl w:val="0"/>
          <w:numId w:val="1"/>
        </w:numPr>
        <w:spacing w:line="360" w:lineRule="auto"/>
        <w:rPr>
          <w:rFonts w:hint="eastAsia" w:ascii="宋体" w:hAnsi="宋体" w:cs="宋体"/>
          <w:kern w:val="0"/>
        </w:rPr>
      </w:pPr>
      <w:r>
        <w:rPr>
          <w:rFonts w:ascii="仿宋" w:hAnsi="仿宋" w:eastAsia="仿宋"/>
        </w:rPr>
        <w:t xml:space="preserve">【法定代表人】不具备法人资格的企业、个体经济组织等用人单位，填写单位负责人。 </w:t>
      </w:r>
    </w:p>
    <w:p>
      <w:pPr>
        <w:widowControl/>
        <w:numPr>
          <w:ilvl w:val="0"/>
          <w:numId w:val="1"/>
        </w:numPr>
        <w:spacing w:line="360" w:lineRule="auto"/>
        <w:rPr>
          <w:rFonts w:hint="eastAsia" w:ascii="仿宋" w:hAnsi="仿宋" w:eastAsia="仿宋"/>
        </w:rPr>
      </w:pPr>
      <w:r>
        <w:rPr>
          <w:rFonts w:ascii="仿宋" w:hAnsi="仿宋" w:eastAsia="仿宋"/>
        </w:rPr>
        <w:t>【</w:t>
      </w:r>
      <w:r>
        <w:rPr>
          <w:rFonts w:hint="eastAsia" w:ascii="仿宋" w:hAnsi="仿宋" w:eastAsia="仿宋"/>
        </w:rPr>
        <w:t>企业类型</w:t>
      </w:r>
      <w:r>
        <w:rPr>
          <w:rFonts w:ascii="仿宋" w:hAnsi="仿宋" w:eastAsia="仿宋"/>
        </w:rPr>
        <w:t>】</w:t>
      </w:r>
      <w:r>
        <w:rPr>
          <w:rFonts w:hint="eastAsia" w:ascii="仿宋" w:hAnsi="仿宋" w:eastAsia="仿宋"/>
        </w:rPr>
        <w:t>按</w:t>
      </w:r>
      <w:r>
        <w:rPr>
          <w:rFonts w:hint="eastAsia" w:ascii="仿宋" w:hAnsi="仿宋" w:eastAsia="仿宋" w:cs="宋体"/>
          <w:kern w:val="0"/>
        </w:rPr>
        <w:t>国家统计局关于印发统计上大中小微型企业划分办法的通知</w:t>
      </w:r>
      <w:r>
        <w:rPr>
          <w:rFonts w:hint="eastAsia" w:ascii="仿宋" w:hAnsi="仿宋" w:eastAsia="仿宋" w:cs="宋体"/>
          <w:b/>
          <w:kern w:val="0"/>
        </w:rPr>
        <w:t>（</w:t>
      </w:r>
      <w:r>
        <w:rPr>
          <w:rFonts w:hint="eastAsia" w:ascii="仿宋" w:hAnsi="仿宋" w:eastAsia="仿宋" w:cs="宋体"/>
          <w:kern w:val="0"/>
        </w:rPr>
        <w:t>国统〔</w:t>
      </w:r>
      <w:r>
        <w:rPr>
          <w:rFonts w:ascii="仿宋" w:hAnsi="仿宋" w:eastAsia="仿宋"/>
          <w:kern w:val="0"/>
        </w:rPr>
        <w:t>2011</w:t>
      </w:r>
      <w:r>
        <w:rPr>
          <w:rFonts w:hint="eastAsia" w:ascii="仿宋" w:hAnsi="仿宋" w:eastAsia="仿宋" w:cs="宋体"/>
          <w:kern w:val="0"/>
        </w:rPr>
        <w:t>〕</w:t>
      </w:r>
      <w:r>
        <w:rPr>
          <w:rFonts w:ascii="仿宋" w:hAnsi="仿宋" w:eastAsia="仿宋"/>
          <w:kern w:val="0"/>
        </w:rPr>
        <w:t>75</w:t>
      </w:r>
      <w:r>
        <w:rPr>
          <w:rFonts w:hint="eastAsia" w:ascii="仿宋" w:hAnsi="仿宋" w:eastAsia="仿宋" w:cs="宋体"/>
          <w:kern w:val="0"/>
        </w:rPr>
        <w:t>号）的要求，填写大、中、小、微。</w:t>
      </w:r>
    </w:p>
    <w:p>
      <w:pPr>
        <w:widowControl/>
        <w:numPr>
          <w:ilvl w:val="0"/>
          <w:numId w:val="1"/>
        </w:numPr>
        <w:spacing w:line="360" w:lineRule="auto"/>
        <w:rPr>
          <w:rFonts w:ascii="仿宋" w:hAnsi="仿宋" w:eastAsia="仿宋"/>
        </w:rPr>
      </w:pPr>
      <w:r>
        <w:rPr>
          <w:rFonts w:ascii="仿宋" w:hAnsi="仿宋" w:eastAsia="仿宋"/>
        </w:rPr>
        <w:t>【行业分类】按《国民经济行业分类和代码》</w:t>
      </w:r>
      <w:r>
        <w:rPr>
          <w:rFonts w:hint="eastAsia" w:ascii="仿宋" w:hAnsi="仿宋" w:eastAsia="仿宋"/>
        </w:rPr>
        <w:t>（</w:t>
      </w:r>
      <w:r>
        <w:rPr>
          <w:rFonts w:ascii="仿宋" w:hAnsi="仿宋" w:eastAsia="仿宋"/>
        </w:rPr>
        <w:t>GB/T4754－2002</w:t>
      </w:r>
      <w:r>
        <w:rPr>
          <w:rFonts w:hint="eastAsia" w:ascii="仿宋" w:hAnsi="仿宋" w:eastAsia="仿宋"/>
        </w:rPr>
        <w:t>）</w:t>
      </w:r>
      <w:r>
        <w:rPr>
          <w:rFonts w:ascii="仿宋" w:hAnsi="仿宋" w:eastAsia="仿宋"/>
        </w:rPr>
        <w:t>填报。</w:t>
      </w:r>
    </w:p>
    <w:p>
      <w:pPr>
        <w:widowControl/>
        <w:numPr>
          <w:ilvl w:val="0"/>
          <w:numId w:val="1"/>
        </w:numPr>
        <w:spacing w:line="360" w:lineRule="auto"/>
        <w:rPr>
          <w:rFonts w:hint="eastAsia" w:ascii="仿宋" w:hAnsi="仿宋" w:eastAsia="仿宋"/>
        </w:rPr>
      </w:pPr>
      <w:r>
        <w:rPr>
          <w:rFonts w:ascii="仿宋" w:hAnsi="仿宋" w:eastAsia="仿宋"/>
        </w:rPr>
        <w:t>【</w:t>
      </w:r>
      <w:r>
        <w:rPr>
          <w:rFonts w:hint="eastAsia" w:ascii="仿宋" w:hAnsi="仿宋" w:eastAsia="仿宋"/>
        </w:rPr>
        <w:t>劳动者总人数</w:t>
      </w:r>
      <w:r>
        <w:rPr>
          <w:rFonts w:ascii="仿宋" w:hAnsi="仿宋" w:eastAsia="仿宋"/>
        </w:rPr>
        <w:t>】【</w:t>
      </w:r>
      <w:r>
        <w:rPr>
          <w:rFonts w:hint="eastAsia" w:ascii="仿宋" w:hAnsi="仿宋" w:eastAsia="仿宋"/>
        </w:rPr>
        <w:t>职业病累计数</w:t>
      </w:r>
      <w:r>
        <w:rPr>
          <w:rFonts w:ascii="仿宋" w:hAnsi="仿宋" w:eastAsia="仿宋"/>
        </w:rPr>
        <w:t>】等需要填写数字的栏目，数据统计范围为</w:t>
      </w:r>
      <w:r>
        <w:rPr>
          <w:rFonts w:hint="eastAsia" w:ascii="仿宋" w:hAnsi="仿宋" w:eastAsia="仿宋"/>
        </w:rPr>
        <w:t>截止目前</w:t>
      </w:r>
      <w:r>
        <w:rPr>
          <w:rFonts w:ascii="仿宋" w:hAnsi="仿宋" w:eastAsia="仿宋"/>
        </w:rPr>
        <w:t>。</w:t>
      </w:r>
    </w:p>
    <w:p>
      <w:pPr>
        <w:widowControl/>
        <w:numPr>
          <w:ilvl w:val="0"/>
          <w:numId w:val="1"/>
        </w:numPr>
        <w:spacing w:line="360" w:lineRule="auto"/>
        <w:rPr>
          <w:rFonts w:hint="eastAsia" w:ascii="仿宋" w:hAnsi="仿宋" w:eastAsia="仿宋"/>
        </w:rPr>
      </w:pPr>
      <w:r>
        <w:rPr>
          <w:rFonts w:ascii="仿宋" w:hAnsi="仿宋" w:eastAsia="仿宋"/>
        </w:rPr>
        <w:t>【</w:t>
      </w:r>
      <w:r>
        <w:rPr>
          <w:rFonts w:hint="eastAsia" w:ascii="仿宋" w:hAnsi="仿宋" w:eastAsia="仿宋"/>
        </w:rPr>
        <w:t>职业病危害因素种类</w:t>
      </w:r>
      <w:r>
        <w:rPr>
          <w:rFonts w:ascii="仿宋" w:hAnsi="仿宋" w:eastAsia="仿宋"/>
        </w:rPr>
        <w:t>】</w:t>
      </w:r>
      <w:r>
        <w:rPr>
          <w:rFonts w:hint="eastAsia" w:ascii="仿宋" w:hAnsi="仿宋" w:eastAsia="仿宋"/>
        </w:rPr>
        <w:t>接触人数按粉尘类、化学物质类、物理因素类、放射性物质类、其他五类分别填写，此栏目由计算机自动生成，网上申报可以不填；如仅纸质申报，应分类填写。</w:t>
      </w:r>
    </w:p>
    <w:p>
      <w:pPr>
        <w:widowControl/>
        <w:numPr>
          <w:ilvl w:val="0"/>
          <w:numId w:val="1"/>
        </w:numPr>
        <w:spacing w:line="360" w:lineRule="auto"/>
        <w:rPr>
          <w:rFonts w:hint="eastAsia" w:ascii="仿宋" w:hAnsi="仿宋" w:eastAsia="仿宋"/>
        </w:rPr>
      </w:pPr>
      <w:r>
        <w:rPr>
          <w:rFonts w:ascii="仿宋" w:hAnsi="仿宋" w:eastAsia="仿宋"/>
        </w:rPr>
        <w:t>【</w:t>
      </w:r>
      <w:r>
        <w:rPr>
          <w:rFonts w:hint="eastAsia" w:ascii="仿宋" w:hAnsi="仿宋" w:eastAsia="仿宋"/>
        </w:rPr>
        <w:t>接触职业病危害总人数</w:t>
      </w:r>
      <w:r>
        <w:rPr>
          <w:rFonts w:ascii="仿宋" w:hAnsi="仿宋" w:eastAsia="仿宋"/>
        </w:rPr>
        <w:t>】</w:t>
      </w:r>
      <w:r>
        <w:rPr>
          <w:rFonts w:hint="eastAsia" w:ascii="仿宋" w:hAnsi="仿宋" w:eastAsia="仿宋"/>
        </w:rPr>
        <w:t>指目前接触各种职业危害的人数。由计算机自动生成，网上申报不填。如仅纸质申报，应填写。</w:t>
      </w:r>
    </w:p>
    <w:p>
      <w:pPr>
        <w:widowControl/>
        <w:numPr>
          <w:ilvl w:val="0"/>
          <w:numId w:val="1"/>
        </w:numPr>
        <w:spacing w:line="360" w:lineRule="auto"/>
        <w:rPr>
          <w:rFonts w:hint="eastAsia" w:ascii="仿宋" w:hAnsi="仿宋" w:eastAsia="仿宋"/>
        </w:rPr>
      </w:pPr>
      <w:r>
        <w:rPr>
          <w:rFonts w:ascii="仿宋" w:hAnsi="仿宋" w:eastAsia="仿宋"/>
        </w:rPr>
        <w:t>【</w:t>
      </w:r>
      <w:r>
        <w:rPr>
          <w:rFonts w:hint="eastAsia" w:ascii="仿宋" w:hAnsi="仿宋" w:eastAsia="仿宋"/>
        </w:rPr>
        <w:t>职业病危害因素分布情况</w:t>
      </w:r>
      <w:r>
        <w:rPr>
          <w:rFonts w:ascii="仿宋" w:hAnsi="仿宋" w:eastAsia="仿宋"/>
        </w:rPr>
        <w:t>】</w:t>
      </w:r>
      <w:r>
        <w:rPr>
          <w:rFonts w:hint="eastAsia" w:ascii="仿宋" w:hAnsi="仿宋" w:eastAsia="仿宋"/>
        </w:rPr>
        <w:t>按作业场所分别填报，</w:t>
      </w:r>
      <w:r>
        <w:rPr>
          <w:rFonts w:ascii="仿宋" w:hAnsi="仿宋" w:eastAsia="仿宋"/>
        </w:rPr>
        <w:t>【</w:t>
      </w:r>
      <w:r>
        <w:rPr>
          <w:rFonts w:hint="eastAsia" w:ascii="仿宋" w:hAnsi="仿宋" w:eastAsia="仿宋"/>
        </w:rPr>
        <w:t>危害因素</w:t>
      </w:r>
      <w:r>
        <w:rPr>
          <w:rFonts w:ascii="仿宋" w:hAnsi="仿宋" w:eastAsia="仿宋"/>
        </w:rPr>
        <w:t>】</w:t>
      </w:r>
      <w:r>
        <w:rPr>
          <w:rFonts w:hint="eastAsia" w:ascii="仿宋" w:hAnsi="仿宋" w:eastAsia="仿宋"/>
        </w:rPr>
        <w:t>依据《职业病危害因素分类目录》规定填写，</w:t>
      </w:r>
      <w:r>
        <w:rPr>
          <w:rFonts w:ascii="仿宋" w:hAnsi="仿宋" w:eastAsia="仿宋"/>
        </w:rPr>
        <w:t>【</w:t>
      </w:r>
      <w:r>
        <w:rPr>
          <w:rFonts w:hint="eastAsia" w:ascii="仿宋" w:hAnsi="仿宋" w:eastAsia="仿宋"/>
        </w:rPr>
        <w:t>接触人数</w:t>
      </w:r>
      <w:r>
        <w:rPr>
          <w:rFonts w:ascii="仿宋" w:hAnsi="仿宋" w:eastAsia="仿宋"/>
        </w:rPr>
        <w:t>】</w:t>
      </w:r>
      <w:r>
        <w:rPr>
          <w:rFonts w:hint="eastAsia" w:ascii="仿宋" w:hAnsi="仿宋" w:eastAsia="仿宋"/>
        </w:rPr>
        <w:t>（可重复）指实际接触该职业病危害因素的人数。</w:t>
      </w:r>
    </w:p>
    <w:p>
      <w:pPr>
        <w:widowControl/>
        <w:numPr>
          <w:ilvl w:val="0"/>
          <w:numId w:val="1"/>
        </w:numPr>
        <w:spacing w:line="360" w:lineRule="auto"/>
        <w:rPr>
          <w:rFonts w:hint="eastAsia" w:ascii="仿宋" w:hAnsi="仿宋" w:eastAsia="仿宋"/>
        </w:rPr>
      </w:pPr>
      <w:r>
        <w:rPr>
          <w:rFonts w:ascii="仿宋" w:hAnsi="仿宋" w:eastAsia="仿宋"/>
        </w:rPr>
        <w:t>【</w:t>
      </w:r>
      <w:r>
        <w:rPr>
          <w:rFonts w:hint="eastAsia" w:ascii="仿宋" w:hAnsi="仿宋" w:eastAsia="仿宋"/>
        </w:rPr>
        <w:t>接触职业病危害人数</w:t>
      </w:r>
      <w:r>
        <w:rPr>
          <w:rFonts w:ascii="仿宋" w:hAnsi="仿宋" w:eastAsia="仿宋"/>
        </w:rPr>
        <w:t>】</w:t>
      </w:r>
      <w:r>
        <w:rPr>
          <w:rFonts w:hint="eastAsia" w:ascii="仿宋" w:hAnsi="仿宋" w:eastAsia="仿宋"/>
        </w:rPr>
        <w:t>（不重复）指该作业场所实际接触所有职业病危害因素的人数，由于一个人可能接触多种职业病危害因素，不能按职业病危害因素简单相加，为方便起见，可采用工作场所内在岗职工人数减去不接触职业危害人数的简单计算方式填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Batang">
    <w:panose1 w:val="02030600000101010101"/>
    <w:charset w:val="81"/>
    <w:family w:val="roman"/>
    <w:pitch w:val="default"/>
    <w:sig w:usb0="B00002AF" w:usb1="69D77CFB"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45701"/>
    <w:multiLevelType w:val="multilevel"/>
    <w:tmpl w:val="4694570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F0347F"/>
    <w:rsid w:val="27F0347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2017-04-10T03:38:00Z</dcterms:created>
  <dc:creator>lufei</dc:creator>
  <cp:lastModifiedBy>lufei</cp:lastModifiedBy>
  <dcterms:modified xsi:type="dcterms:W3CDTF">2017-04-10T03:39:50Z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