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426" w:type="dxa"/>
        <w:jc w:val="center"/>
        <w:tblCellSpacing w:w="0" w:type="dxa"/>
        <w:tblInd w:w="0" w:type="dxa"/>
        <w:shd w:val="clear"/>
        <w:tblLayout w:type="fixed"/>
        <w:tblCellMar>
          <w:top w:w="60" w:type="dxa"/>
          <w:left w:w="60" w:type="dxa"/>
          <w:bottom w:w="60" w:type="dxa"/>
          <w:right w:w="60" w:type="dxa"/>
        </w:tblCellMar>
      </w:tblPr>
      <w:tblGrid>
        <w:gridCol w:w="8426"/>
      </w:tblGrid>
      <w:tr>
        <w:tblPrEx>
          <w:shd w:val="clear"/>
          <w:tblLayout w:type="fixed"/>
          <w:tblCellMar>
            <w:top w:w="60" w:type="dxa"/>
            <w:left w:w="60" w:type="dxa"/>
            <w:bottom w:w="60" w:type="dxa"/>
            <w:right w:w="60" w:type="dxa"/>
          </w:tblCellMar>
        </w:tblPrEx>
        <w:trPr>
          <w:tblCellSpacing w:w="0" w:type="dxa"/>
          <w:jc w:val="center"/>
        </w:trPr>
        <w:tc>
          <w:tcPr>
            <w:tcW w:w="8426" w:type="dxa"/>
            <w:shd w:val="clear"/>
            <w:vAlign w:val="center"/>
          </w:tcPr>
          <w:p>
            <w:pPr>
              <w:keepNext w:val="0"/>
              <w:keepLines w:val="0"/>
              <w:widowControl/>
              <w:suppressLineNumbers w:val="0"/>
              <w:jc w:val="center"/>
              <w:rPr>
                <w:sz w:val="18"/>
                <w:szCs w:val="18"/>
              </w:rPr>
            </w:pPr>
            <w:r>
              <w:rPr>
                <w:rFonts w:ascii="宋体" w:hAnsi="宋体" w:eastAsia="宋体" w:cs="宋体"/>
                <w:b/>
                <w:color w:val="FF0000"/>
                <w:kern w:val="0"/>
                <w:sz w:val="27"/>
                <w:szCs w:val="27"/>
                <w:bdr w:val="none" w:color="auto" w:sz="0" w:space="0"/>
                <w:lang w:val="en-US" w:eastAsia="zh-CN" w:bidi="ar"/>
              </w:rPr>
              <w:t>国家环境保护总局文件</w:t>
            </w:r>
            <w:r>
              <w:rPr>
                <w:rFonts w:ascii="宋体" w:hAnsi="宋体" w:eastAsia="宋体" w:cs="宋体"/>
                <w:kern w:val="0"/>
                <w:sz w:val="18"/>
                <w:szCs w:val="18"/>
                <w:bdr w:val="none" w:color="auto" w:sz="0" w:space="0"/>
                <w:lang w:val="en-US" w:eastAsia="zh-CN" w:bidi="ar"/>
              </w:rPr>
              <w:br w:type="textWrapping"/>
            </w:r>
            <w:r>
              <w:rPr>
                <w:rFonts w:ascii="宋体" w:hAnsi="宋体" w:eastAsia="宋体" w:cs="宋体"/>
                <w:kern w:val="0"/>
                <w:sz w:val="18"/>
                <w:szCs w:val="18"/>
                <w:bdr w:val="none" w:color="auto" w:sz="0" w:space="0"/>
                <w:lang w:val="en-US" w:eastAsia="zh-CN" w:bidi="ar"/>
              </w:rPr>
              <w:br w:type="textWrapping"/>
            </w:r>
            <w:r>
              <w:rPr>
                <w:rFonts w:ascii="宋体" w:hAnsi="宋体" w:eastAsia="宋体" w:cs="宋体"/>
                <w:color w:val="000000"/>
                <w:kern w:val="0"/>
                <w:sz w:val="20"/>
                <w:szCs w:val="20"/>
                <w:bdr w:val="none" w:color="auto" w:sz="0" w:space="0"/>
                <w:lang w:val="en-US" w:eastAsia="zh-CN" w:bidi="ar"/>
              </w:rPr>
              <w:t>环发[2004]118号</w:t>
            </w:r>
          </w:p>
        </w:tc>
      </w:tr>
    </w:tbl>
    <w:p>
      <w:pPr>
        <w:rPr>
          <w:vanish/>
          <w:sz w:val="24"/>
          <w:szCs w:val="24"/>
        </w:rPr>
      </w:pPr>
    </w:p>
    <w:p>
      <w:pPr>
        <w:pStyle w:val="2"/>
        <w:keepNext w:val="0"/>
        <w:keepLines w:val="0"/>
        <w:widowControl/>
        <w:suppressLineNumbers w:val="0"/>
        <w:spacing w:before="750" w:beforeAutospacing="0"/>
        <w:ind w:left="76" w:right="0"/>
        <w:jc w:val="center"/>
      </w:pPr>
      <w:r>
        <w:rPr>
          <w:sz w:val="18"/>
          <w:szCs w:val="18"/>
          <w:shd w:val="clear" w:fill="FFFFFF"/>
        </w:rPr>
        <w:br w:type="textWrapping"/>
      </w:r>
      <w:r>
        <w:rPr>
          <w:rStyle w:val="4"/>
          <w:rFonts w:hint="eastAsia" w:ascii="宋体" w:hAnsi="宋体" w:eastAsia="宋体" w:cs="宋体"/>
          <w:color w:val="000000"/>
          <w:sz w:val="28"/>
          <w:szCs w:val="28"/>
          <w:shd w:val="clear" w:fill="FFFFFF"/>
        </w:rPr>
        <w:t>关于发布放射源编码规则的通知</w:t>
      </w:r>
    </w:p>
    <w:p>
      <w:pPr>
        <w:keepNext w:val="0"/>
        <w:keepLines w:val="0"/>
        <w:widowControl/>
        <w:suppressLineNumbers w:val="0"/>
        <w:pBdr>
          <w:top w:val="single" w:color="B5B5B5" w:sz="6" w:space="3"/>
          <w:left w:val="single" w:color="B5B5B5" w:sz="6" w:space="0"/>
          <w:bottom w:val="single" w:color="B5B5B5" w:sz="6" w:space="22"/>
          <w:right w:val="single" w:color="B5B5B5" w:sz="6" w:space="0"/>
        </w:pBdr>
        <w:shd w:val="clear" w:fill="FFFFFF"/>
        <w:spacing w:before="750" w:beforeAutospacing="0" w:line="408" w:lineRule="auto"/>
        <w:ind w:left="76" w:right="0"/>
        <w:jc w:val="left"/>
        <w:rPr>
          <w:sz w:val="24"/>
          <w:szCs w:val="24"/>
        </w:rPr>
      </w:pPr>
      <w:r>
        <w:rPr>
          <w:rFonts w:ascii="宋体" w:hAnsi="宋体" w:eastAsia="宋体" w:cs="宋体"/>
          <w:kern w:val="0"/>
          <w:sz w:val="24"/>
          <w:szCs w:val="24"/>
          <w:bdr w:val="none" w:color="auto" w:sz="0" w:space="0"/>
          <w:shd w:val="clear" w:fill="FFFFFF"/>
          <w:lang w:val="en-US" w:eastAsia="zh-CN" w:bidi="ar"/>
        </w:rPr>
        <w:t xml:space="preserve">　　各省、自治区、直辖市环境保护局（厅），中国原子能科学研究院，中国工程物理研究院，中国核动力研究设计院，中核集团四O四厂，中国同位素公司，中国原子能工业公司，中核甘肃华原企业总公司，北京原子高科核技术应用股份有限公司，中核高通同位素股份有限公司，中国同位素与辐射行业协会： </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xml:space="preserve">　　根据《中华人民共和国放射性污染防治法》和中编办《关于放射源安全监管部门职责分工的通知》（2003年17号文）要求，为加强放射源安全管理，我局组织制定了《放射源编码规则》,现予发布。请各有关单位按照本编码规则，自规定之日起，开展放射源编码工作。 </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附件：放射源编码规则</w:t>
      </w:r>
    </w:p>
    <w:p>
      <w:pPr>
        <w:pStyle w:val="2"/>
        <w:keepNext w:val="0"/>
        <w:keepLines w:val="0"/>
        <w:widowControl/>
        <w:suppressLineNumbers w:val="0"/>
        <w:wordWrap w:val="0"/>
        <w:spacing w:before="750" w:beforeAutospacing="0" w:after="0" w:afterAutospacing="1" w:line="408" w:lineRule="auto"/>
        <w:ind w:left="76" w:right="0"/>
        <w:jc w:val="right"/>
        <w:rPr>
          <w:sz w:val="24"/>
          <w:szCs w:val="24"/>
          <w:u w:val="none"/>
        </w:rPr>
      </w:pPr>
      <w:r>
        <w:rPr>
          <w:sz w:val="24"/>
          <w:szCs w:val="24"/>
          <w:u w:val="none"/>
          <w:shd w:val="clear" w:fill="FFFFFF"/>
        </w:rPr>
        <w:t>　　二○○四年八月二十四日</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shd w:val="clear" w:fill="FFFFFF"/>
        </w:rPr>
      </w:pPr>
      <w:r>
        <w:rPr>
          <w:sz w:val="24"/>
          <w:szCs w:val="24"/>
          <w:u w:val="none"/>
          <w:shd w:val="clear" w:fill="FFFFFF"/>
        </w:rPr>
        <w:t>　　　</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xml:space="preserve"> </w:t>
      </w:r>
      <w:r>
        <w:rPr>
          <w:sz w:val="24"/>
          <w:szCs w:val="24"/>
          <w:u w:val="none"/>
          <w:shd w:val="clear" w:fill="FFFFFF"/>
        </w:rPr>
        <w:fldChar w:fldCharType="begin"/>
      </w:r>
      <w:r>
        <w:rPr>
          <w:sz w:val="24"/>
          <w:szCs w:val="24"/>
          <w:u w:val="none"/>
          <w:shd w:val="clear" w:fill="FFFFFF"/>
        </w:rPr>
        <w:instrText xml:space="preserve"> HYPERLINK "http://www.mep.gov.cn/image20010518/401.doc" </w:instrText>
      </w:r>
      <w:r>
        <w:rPr>
          <w:sz w:val="24"/>
          <w:szCs w:val="24"/>
          <w:u w:val="none"/>
          <w:shd w:val="clear" w:fill="FFFFFF"/>
        </w:rPr>
        <w:fldChar w:fldCharType="separate"/>
      </w:r>
      <w:r>
        <w:rPr>
          <w:rStyle w:val="5"/>
          <w:sz w:val="24"/>
          <w:szCs w:val="24"/>
          <w:u w:val="none"/>
          <w:shd w:val="clear" w:fill="FFFFFF"/>
        </w:rPr>
        <w:t>附件：放射源编码规则</w:t>
      </w:r>
      <w:r>
        <w:rPr>
          <w:sz w:val="24"/>
          <w:szCs w:val="24"/>
          <w:u w:val="none"/>
          <w:shd w:val="clear" w:fill="FFFFFF"/>
        </w:rPr>
        <w:fldChar w:fldCharType="end"/>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主题词：环保 放射源 编码 规则 通知</w:t>
      </w:r>
    </w:p>
    <w:p>
      <w:pPr>
        <w:pStyle w:val="2"/>
        <w:keepNext w:val="0"/>
        <w:keepLines w:val="0"/>
        <w:widowControl/>
        <w:suppressLineNumbers w:val="0"/>
        <w:wordWrap w:val="0"/>
        <w:spacing w:before="750" w:beforeAutospacing="0" w:after="0" w:afterAutospacing="1" w:line="408" w:lineRule="auto"/>
        <w:ind w:left="76" w:right="0" w:firstLine="480"/>
        <w:jc w:val="left"/>
        <w:rPr>
          <w:sz w:val="24"/>
          <w:szCs w:val="24"/>
          <w:u w:val="none"/>
          <w:shd w:val="clear" w:fill="FFFFFF"/>
        </w:rPr>
      </w:pPr>
      <w:r>
        <w:rPr>
          <w:sz w:val="24"/>
          <w:szCs w:val="24"/>
          <w:u w:val="none"/>
          <w:shd w:val="clear" w:fill="FFFFFF"/>
        </w:rPr>
        <w:t>抄　 送：教育部，科技部，国防科工委，公安部，铁道部，交通部，信息产业部，农业部，商务部，卫生部，海关总署，质检总局，民航总局，中国科学院，国家邮政局，中国核工业集团公司，中国石油天然气集团公司，中国石油化工集团公司，中国海洋石油总公司，中国建筑材料集团公司，中国地质工程集团公司，中国广东核电集团有限公司</w:t>
      </w:r>
    </w:p>
    <w:p>
      <w:pPr>
        <w:pStyle w:val="2"/>
        <w:keepNext w:val="0"/>
        <w:keepLines w:val="0"/>
        <w:widowControl/>
        <w:suppressLineNumbers w:val="0"/>
        <w:wordWrap w:val="0"/>
        <w:spacing w:before="750" w:beforeAutospacing="0" w:after="0" w:afterAutospacing="1" w:line="408" w:lineRule="auto"/>
        <w:ind w:left="76" w:right="0" w:firstLine="480"/>
        <w:jc w:val="left"/>
        <w:rPr>
          <w:sz w:val="24"/>
          <w:szCs w:val="24"/>
          <w:u w:val="none"/>
          <w:shd w:val="clear" w:fill="FFFFFF"/>
        </w:rPr>
      </w:pPr>
    </w:p>
    <w:p>
      <w:pPr>
        <w:pStyle w:val="2"/>
        <w:keepNext w:val="0"/>
        <w:keepLines w:val="0"/>
        <w:widowControl/>
        <w:suppressLineNumbers w:val="0"/>
        <w:wordWrap w:val="0"/>
        <w:spacing w:before="750" w:beforeAutospacing="0" w:after="0" w:afterAutospacing="1" w:line="408" w:lineRule="auto"/>
        <w:ind w:left="76" w:right="0" w:firstLine="480"/>
        <w:jc w:val="left"/>
        <w:rPr>
          <w:sz w:val="24"/>
          <w:szCs w:val="24"/>
          <w:u w:val="none"/>
          <w:shd w:val="clear" w:fill="FFFFFF"/>
        </w:rPr>
      </w:pPr>
    </w:p>
    <w:p>
      <w:pPr>
        <w:pStyle w:val="2"/>
        <w:keepNext w:val="0"/>
        <w:keepLines w:val="0"/>
        <w:widowControl/>
        <w:suppressLineNumbers w:val="0"/>
        <w:wordWrap w:val="0"/>
        <w:spacing w:before="750" w:beforeAutospacing="0" w:after="0" w:afterAutospacing="1" w:line="408" w:lineRule="auto"/>
        <w:ind w:left="76" w:right="0" w:firstLine="480"/>
        <w:jc w:val="left"/>
        <w:rPr>
          <w:sz w:val="24"/>
          <w:szCs w:val="24"/>
          <w:u w:val="none"/>
          <w:shd w:val="clear" w:fill="FFFFFF"/>
        </w:rPr>
      </w:pPr>
    </w:p>
    <w:p>
      <w:pPr>
        <w:pStyle w:val="2"/>
        <w:keepNext w:val="0"/>
        <w:keepLines w:val="0"/>
        <w:widowControl/>
        <w:suppressLineNumbers w:val="0"/>
        <w:wordWrap w:val="0"/>
        <w:spacing w:before="750" w:beforeAutospacing="0" w:after="0" w:afterAutospacing="1" w:line="408" w:lineRule="auto"/>
        <w:ind w:left="76" w:right="0" w:firstLine="480"/>
        <w:jc w:val="left"/>
        <w:rPr>
          <w:sz w:val="24"/>
          <w:szCs w:val="24"/>
          <w:u w:val="none"/>
          <w:shd w:val="clear" w:fill="FFFFFF"/>
        </w:rPr>
      </w:pPr>
    </w:p>
    <w:p>
      <w:pPr>
        <w:pStyle w:val="2"/>
        <w:keepNext w:val="0"/>
        <w:keepLines w:val="0"/>
        <w:widowControl/>
        <w:suppressLineNumbers w:val="0"/>
        <w:wordWrap w:val="0"/>
        <w:spacing w:before="750" w:beforeAutospacing="0" w:after="0" w:afterAutospacing="1" w:line="408" w:lineRule="auto"/>
        <w:ind w:left="76" w:right="0" w:firstLine="480"/>
        <w:jc w:val="left"/>
        <w:rPr>
          <w:sz w:val="24"/>
          <w:szCs w:val="24"/>
          <w:u w:val="none"/>
          <w:shd w:val="clear" w:fill="FFFFFF"/>
        </w:rPr>
      </w:pPr>
    </w:p>
    <w:p>
      <w:pPr>
        <w:keepNext w:val="0"/>
        <w:keepLines w:val="0"/>
        <w:widowControl/>
        <w:suppressLineNumbers w:val="0"/>
        <w:spacing w:before="750" w:beforeAutospacing="0"/>
        <w:ind w:left="76" w:right="0"/>
        <w:jc w:val="left"/>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center"/>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放射源编码规则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center"/>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一、本规则所称放射源均指密封放射源，但不包括用于医学治疗中植入人体的种子源。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二、半衰期大于或等于60天的放射源（以下简称放射源）必须按照本规则编12位编码，半衰期小于60天的放射源可以不编码。常见核素半衰期见表一。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三、生产单位包括生产放射源的单位和利用放射性物质加工或分装放射源的单位。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涉源单位是指从事放射源生产、进口、出口、销售、使用、贮存等业务且拥有放射源的单位。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四、放射源编码由12位数字和字母组成，分别表示生产单位（或生产国）、出厂年份、核素代码、产品序列号、放射源类别等内容，详见附一。每个放射源具有唯一编码，同一编码不得重复使用。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五、放射源编码要填入放射源编码卡。对于放射源与包装容器或含放射源仪器设备永久固定在一起的，放射源编码卡应固定在容器或设备的明显位置；对于放射源与包装容器或含放射源仪器设备不固定在一起的，在装有放射源的容器或设备的明显位置应设插槽，放射源编码卡插入插槽内。放射源编码卡必须伴随放射源从生产到处置的全过程，放射源发生转移时，“放射源编码卡”必须随放射源共同转移。放射源编码卡的格式见附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六、对于2005年1月1日后国内生产的所有放射源，由国内生产单位依据本编码规则编制12位编码，并如实填写放射源编码卡。产品序列号应按照出厂年份和核素分类排序。编码应报国务院环境保护行政主管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七、对于2005年1月1日后从国外进口的所有放射源，放射源进口单位到国务院环境保护行政主管部门办理进口备案手续时，申领放射源编码，并如实填写放射源编码卡。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国务院环境保护行政主管部门按照本编码规则进行编码，产品序列号应按照出厂年份和核素分类排序。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八、对于2004年12月31日以前国内生产或国外进口的所有放射源，由各省级环境保护行政主管部门根据本编码规则和序列号分配表（表二）进行编码，所有放射源产品序列号统一排序。产品序列号不够使用时，可向国务院环境保护行政主管部门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涉源单位自2004年9月1日至2004年12月31日之间向所在地省级环境保护行政主管部门申领编码，并如实填写放射源编码卡。放射源已按本规则进行编码的，不得再次申请编码。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九、涉源单位在申领编码时应如实提供放射源生产单位（生产国）、核素、出厂日期、出厂活度等必要资料，并对编码卡内容的真实性负责。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十、放射源被处置或由生产单位回收或返回原出口国的，处置单位或生产单位或负责办理废源返回出口国手续的单位应在30日之内向所在地省级环境保护行政主管部门办理编码注销手续。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十一、表一未列出的核素，由编码单位向国务院环境保护行政主管部门申请核素代码。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十二、表三未列出代码的国内生产单位应向国务院环境保护行政主管部门申领单位代码。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十三、国家或地区代码未在表四列出的，可查阅国家标准《世界各国和地区名称代码》（GB/T 2659-2000）。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附一 放射源编码格式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bdr w:val="none" w:color="auto" w:sz="0" w:space="0"/>
          <w:shd w:val="clear" w:fill="FFFFFF"/>
        </w:rPr>
        <w:t>附二 放射源编码卡格式</w:t>
      </w:r>
    </w:p>
    <w:p>
      <w:pPr>
        <w:keepNext w:val="0"/>
        <w:keepLines w:val="0"/>
        <w:widowControl/>
        <w:suppressLineNumbers w:val="0"/>
        <w:spacing w:before="750" w:beforeAutospacing="0"/>
        <w:ind w:left="76" w:right="0"/>
        <w:jc w:val="left"/>
      </w:pPr>
    </w:p>
    <w:p>
      <w:pPr>
        <w:keepNext w:val="0"/>
        <w:keepLines w:val="0"/>
        <w:widowControl/>
        <w:suppressLineNumbers w:val="0"/>
        <w:spacing w:before="750" w:beforeAutospacing="0"/>
        <w:ind w:left="76" w:right="0"/>
        <w:jc w:val="left"/>
      </w:pPr>
    </w:p>
    <w:p>
      <w:pPr>
        <w:keepNext w:val="0"/>
        <w:keepLines w:val="0"/>
        <w:widowControl/>
        <w:suppressLineNumbers w:val="0"/>
        <w:spacing w:before="750" w:beforeAutospacing="0"/>
        <w:ind w:left="76" w:right="0"/>
        <w:jc w:val="left"/>
      </w:pPr>
    </w:p>
    <w:p>
      <w:pPr>
        <w:keepNext w:val="0"/>
        <w:keepLines w:val="0"/>
        <w:widowControl/>
        <w:suppressLineNumbers w:val="0"/>
        <w:spacing w:before="750" w:beforeAutospacing="0"/>
        <w:ind w:left="76" w:right="0"/>
        <w:jc w:val="left"/>
        <w:rPr>
          <w:rFonts w:hint="eastAsia"/>
        </w:rPr>
      </w:pPr>
      <w:r>
        <w:rPr>
          <w:rFonts w:hint="eastAsia"/>
        </w:rPr>
        <w:t xml:space="preserve">附一： </w:t>
      </w:r>
    </w:p>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rPr>
        <w:t>放射源编码格式</w:t>
      </w:r>
    </w:p>
    <w:tbl>
      <w:tblPr>
        <w:tblW w:w="652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44"/>
        <w:gridCol w:w="544"/>
        <w:gridCol w:w="544"/>
        <w:gridCol w:w="544"/>
        <w:gridCol w:w="544"/>
        <w:gridCol w:w="544"/>
        <w:gridCol w:w="544"/>
        <w:gridCol w:w="544"/>
        <w:gridCol w:w="544"/>
        <w:gridCol w:w="544"/>
        <w:gridCol w:w="544"/>
        <w:gridCol w:w="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629" w:hRule="atLeast"/>
          <w:jc w:val="center"/>
        </w:trPr>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1</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2</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3</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4</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5</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6</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7</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8</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9</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10</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11</w:t>
            </w:r>
          </w:p>
        </w:tc>
        <w:tc>
          <w:tcPr>
            <w:tcW w:w="5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eastAsia"/>
                <w:b/>
                <w:bCs/>
                <w:sz w:val="30"/>
                <w:szCs w:val="30"/>
                <w:lang w:val="en-US" w:eastAsia="zh-CN"/>
              </w:rPr>
              <w:t>12</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放射源编码由12位数字和字母组成，其中：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第1－2位：国内生产的放射源，为生产单位代码,用两位数字表示，详见表三；国外生产的，为生产国家代码，用两位字母表示，详见表四。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第3－4位：为出厂年份，用年份后2位数字表示。如2004年出厂的放射源，则填写04。放射源于2005年1月1日前出厂且年份不清楚的，填写NN。</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第5－6位：为核素代码，常见核素代码见表一。2005年1月1日前出厂的放射源且本项不清楚的，填写NN。</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第7－11位：为产品序列号。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第12位：出厂时放射源类别。分为1、2、3、4、5类源，分别填写1、2、3、4、5，不清楚的填写N。常见放射源分类简表见表五。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例：1.生产单位排定产品序列号时，应按出厂年份和核素类别分类后，再排定顺序。如：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中国原子能科学研究院2005年生产的Cs－137放射源，由生产单位分配产品序列号为00001，出厂时为3类放射源，则其编码为： 0405CS000013；</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该厂2005年生产的Po-210放射源，由生产单位分配产品序列号为00001，出厂时为3类放射源，则其编码为： 0405PO000013。</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2. 对于2004年12月31日（含）以前生产的放射源，各省排序时，可不再区分出厂年份、核素和生产单位（生产国），而将所有放射源统一排序。如：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2003年从美国进口的Co－60放射源，在北京使用，如果北京市环境保护局在分配的“00001-05000”号段内为其排定序列号为00001，出厂时为4类放射源，则其编码为： US03CO000014;</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40" w:lineRule="atLeast"/>
        <w:ind w:left="0" w:leftChars="0" w:right="0" w:rightChars="0" w:firstLine="480" w:firstLineChars="0"/>
        <w:jc w:val="left"/>
        <w:textAlignment w:val="auto"/>
        <w:outlineLvl w:val="9"/>
        <w:rPr>
          <w:rFonts w:hint="eastAsia" w:ascii="仿宋_GB2312" w:hAnsi="微软雅黑" w:eastAsia="仿宋_GB2312" w:cs="仿宋_GB2312"/>
          <w:b w:val="0"/>
          <w:i w:val="0"/>
          <w:caps w:val="0"/>
          <w:color w:val="000000"/>
          <w:spacing w:val="0"/>
          <w:kern w:val="0"/>
          <w:sz w:val="24"/>
          <w:szCs w:val="24"/>
          <w:shd w:val="clear" w:fill="FFFFFF"/>
          <w:lang w:val="en-US" w:eastAsia="zh-CN" w:bidi="ar"/>
        </w:rPr>
      </w:pPr>
      <w:r>
        <w:rPr>
          <w:rFonts w:hint="eastAsia" w:ascii="仿宋_GB2312" w:hAnsi="微软雅黑" w:eastAsia="仿宋_GB2312" w:cs="仿宋_GB2312"/>
          <w:b w:val="0"/>
          <w:i w:val="0"/>
          <w:caps w:val="0"/>
          <w:color w:val="000000"/>
          <w:spacing w:val="0"/>
          <w:kern w:val="0"/>
          <w:sz w:val="24"/>
          <w:szCs w:val="24"/>
          <w:shd w:val="clear" w:fill="FFFFFF"/>
          <w:lang w:val="en-US" w:eastAsia="zh-CN" w:bidi="ar"/>
        </w:rPr>
        <w:t>2002年北京原子高科核技术应用股份有限公司出厂的Cs-137放射源，在北京使用，如果北京市环境保护局在分配的“00001-05000”号段内为其排定序列号为00002，出厂时为4类放射源，则其编码为： 0102CS000024。</w:t>
      </w:r>
    </w:p>
    <w:p>
      <w:pPr>
        <w:keepNext w:val="0"/>
        <w:keepLines w:val="0"/>
        <w:widowControl/>
        <w:suppressLineNumbers w:val="0"/>
        <w:spacing w:before="750" w:beforeAutospacing="0"/>
        <w:ind w:left="76" w:right="0"/>
        <w:jc w:val="left"/>
        <w:rPr>
          <w:rFonts w:hint="eastAsia"/>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left"/>
        <w:rPr>
          <w:rFonts w:ascii="微软雅黑" w:hAnsi="微软雅黑" w:eastAsia="微软雅黑" w:cs="微软雅黑"/>
          <w:b w:val="0"/>
          <w:i w:val="0"/>
          <w:caps w:val="0"/>
          <w:color w:val="000000"/>
          <w:spacing w:val="0"/>
          <w:sz w:val="21"/>
          <w:szCs w:val="21"/>
        </w:rPr>
      </w:pPr>
      <w:r>
        <w:rPr>
          <w:rFonts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附二</w:t>
      </w: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Autospacing="0" w:line="240" w:lineRule="auto"/>
        <w:ind w:left="0" w:leftChars="0" w:right="0" w:rightChars="0" w:firstLine="0" w:firstLineChars="0"/>
        <w:jc w:val="center"/>
        <w:textAlignment w:val="auto"/>
        <w:outlineLvl w:val="9"/>
        <w:rPr>
          <w:rFonts w:hint="eastAsia"/>
          <w:b/>
          <w:bCs/>
          <w:sz w:val="30"/>
          <w:szCs w:val="30"/>
        </w:rPr>
      </w:pPr>
      <w:r>
        <w:rPr>
          <w:rFonts w:hint="default"/>
          <w:b/>
          <w:bCs/>
          <w:sz w:val="30"/>
          <w:szCs w:val="30"/>
          <w:lang w:val="en-US" w:eastAsia="zh-CN"/>
        </w:rPr>
        <w:t>放射源编码卡格式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1. 字体均为五号宋体，应为刻印，不得手写。（www.t262.com]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2. 编码卡材料要适合存档和长期保存，建议使用金属或PVC磁卡材质。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center"/>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3. 编码卡标准尺寸为5.6厘米×9厘米，可根据容器大小按比例调整尺寸，但应以便于识别为准。</w:t>
      </w:r>
      <w:r>
        <w:drawing>
          <wp:inline distT="0" distB="0" distL="114300" distR="114300">
            <wp:extent cx="3876040" cy="2028825"/>
            <wp:effectExtent l="0" t="0" r="1016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876040" cy="20288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填写说明：</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1．国家编码为按《放射源编码规则》编制的编码。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2．核素名称用汉字和核素符号填写。如：钴－60，Co-60。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3．源外形尺寸填写源本体形状和尺寸。如：圆柱体，φ8×10mm，立方体，2×2×2mm。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4．标号为生产单位刻印在源本体或包壳上的编号。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5．本卡不能留空，不清楚的项目填“未知”。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cente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center"/>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表一 常见放射源数据简表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left"/>
        <w:rPr>
          <w:rFonts w:ascii="宋体" w:hAnsi="宋体" w:eastAsia="宋体" w:cs="宋体"/>
          <w:sz w:val="24"/>
          <w:szCs w:val="24"/>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"http://sbc.jiangnan.edu.cn/__local/7/5C/05/495AA078733655C840CEC9AC05F_ECFF4644_14006.jpg"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5695950" cy="788670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5695950" cy="7886700"/>
                    </a:xfrm>
                    <a:prstGeom prst="rect">
                      <a:avLst/>
                    </a:prstGeom>
                    <a:noFill/>
                    <a:ln w="9525">
                      <a:noFill/>
                    </a:ln>
                  </pic:spPr>
                </pic:pic>
              </a:graphicData>
            </a:graphic>
          </wp:inline>
        </w:drawing>
      </w:r>
      <w:r>
        <w:rPr>
          <w:rFonts w:ascii="宋体" w:hAnsi="宋体" w:eastAsia="宋体" w:cs="宋体"/>
          <w:sz w:val="24"/>
          <w:szCs w:val="24"/>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ascii="宋体" w:hAnsi="宋体" w:eastAsia="宋体" w:cs="宋体"/>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center"/>
        <w:rPr>
          <w:rFonts w:ascii="微软雅黑" w:hAnsi="微软雅黑" w:eastAsia="微软雅黑" w:cs="微软雅黑"/>
          <w:b w:val="0"/>
          <w:i w:val="0"/>
          <w:caps w:val="0"/>
          <w:color w:val="000000"/>
          <w:spacing w:val="0"/>
          <w:sz w:val="21"/>
          <w:szCs w:val="21"/>
        </w:rPr>
      </w:pPr>
      <w:r>
        <w:rPr>
          <w:rFonts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表二 放射源编码序列号分配表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eastAsia" w:ascii="微软雅黑" w:hAnsi="微软雅黑" w:eastAsia="微软雅黑" w:cs="微软雅黑"/>
          <w:b w:val="0"/>
          <w:i w:val="0"/>
          <w:caps w:val="0"/>
          <w:color w:val="000000"/>
          <w:spacing w:val="0"/>
          <w:sz w:val="21"/>
          <w:szCs w:val="21"/>
        </w:rPr>
      </w:pP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fldChar w:fldCharType="begin"/>
      </w: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instrText xml:space="preserve">INCLUDEPICTURE \d "http://sbc.jiangnan.edu.cn/__local/0/F9/70/F4DC60699F029571F70325763A8_9721628D_B94F.jpg" \* MERGEFORMATINET </w:instrText>
      </w: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fldChar w:fldCharType="separate"/>
      </w: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drawing>
          <wp:inline distT="0" distB="0" distL="114300" distR="114300">
            <wp:extent cx="5657850" cy="4181475"/>
            <wp:effectExtent l="0" t="0" r="0"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a:stretch>
                      <a:fillRect/>
                    </a:stretch>
                  </pic:blipFill>
                  <pic:spPr>
                    <a:xfrm>
                      <a:off x="0" y="0"/>
                      <a:ext cx="5657850" cy="4181475"/>
                    </a:xfrm>
                    <a:prstGeom prst="rect">
                      <a:avLst/>
                    </a:prstGeom>
                    <a:noFill/>
                    <a:ln w="9525">
                      <a:noFill/>
                    </a:ln>
                  </pic:spPr>
                </pic:pic>
              </a:graphicData>
            </a:graphic>
          </wp:inline>
        </w:drawing>
      </w:r>
      <w:r>
        <w:rPr>
          <w:rFonts w:hint="default"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left"/>
        <w:rPr>
          <w:rFonts w:hint="eastAsia" w:ascii="宋体" w:hAnsi="宋体" w:eastAsia="宋体" w:cs="宋体"/>
          <w:sz w:val="24"/>
          <w:szCs w:val="24"/>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center"/>
        <w:rPr>
          <w:rFonts w:ascii="仿宋_GB2312" w:hAnsi="宋体" w:eastAsia="仿宋_GB2312" w:cs="仿宋_GB2312"/>
          <w:b w:val="0"/>
          <w:i w:val="0"/>
          <w:caps w:val="0"/>
          <w:color w:val="000000"/>
          <w:spacing w:val="0"/>
          <w:sz w:val="24"/>
          <w:szCs w:val="24"/>
          <w:shd w:val="clear" w:fill="FFFFFF"/>
        </w:rPr>
      </w:pPr>
      <w:r>
        <w:rPr>
          <w:rFonts w:ascii="仿宋_GB2312" w:hAnsi="宋体" w:eastAsia="仿宋_GB2312" w:cs="仿宋_GB2312"/>
          <w:b w:val="0"/>
          <w:i w:val="0"/>
          <w:caps w:val="0"/>
          <w:color w:val="000000"/>
          <w:spacing w:val="0"/>
          <w:sz w:val="24"/>
          <w:szCs w:val="24"/>
          <w:shd w:val="clear" w:fill="FFFFFF"/>
        </w:rPr>
        <w:t>表三 国内生产单位代码表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80"/>
        <w:jc w:val="left"/>
        <w:rPr>
          <w:rFonts w:ascii="微软雅黑" w:hAnsi="微软雅黑" w:eastAsia="微软雅黑" w:cs="微软雅黑"/>
          <w:b w:val="0"/>
          <w:i w:val="0"/>
          <w:caps w:val="0"/>
          <w:color w:val="000000"/>
          <w:spacing w:val="0"/>
          <w:sz w:val="21"/>
          <w:szCs w:val="21"/>
        </w:rPr>
      </w:pPr>
      <w:r>
        <w:rPr>
          <w:rFonts w:ascii="仿宋_GB2312" w:hAnsi="微软雅黑" w:eastAsia="仿宋_GB2312" w:cs="仿宋_GB2312"/>
          <w:b w:val="0"/>
          <w:i w:val="0"/>
          <w:caps w:val="0"/>
          <w:color w:val="000000"/>
          <w:spacing w:val="0"/>
          <w:kern w:val="0"/>
          <w:sz w:val="24"/>
          <w:szCs w:val="24"/>
          <w:bdr w:val="none" w:color="auto" w:sz="0" w:space="0"/>
          <w:shd w:val="clear" w:fill="FFFFFF"/>
          <w:lang w:val="en-US" w:eastAsia="zh-CN" w:bidi="ar"/>
        </w:rPr>
        <w:t>表三 国内生产单位代码表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r>
        <w:rPr>
          <w:rFonts w:hint="default" w:ascii="仿宋_GB2312" w:hAnsi="微软雅黑" w:eastAsia="仿宋_GB2312" w:cs="仿宋_GB2312"/>
          <w:b w:val="0"/>
          <w:i w:val="0"/>
          <w:caps w:val="0"/>
          <w:color w:val="000000"/>
          <w:spacing w:val="0"/>
          <w:kern w:val="0"/>
          <w:sz w:val="24"/>
          <w:szCs w:val="24"/>
          <w:shd w:val="clear" w:fill="FFFFFF"/>
          <w:lang w:val="en-US" w:eastAsia="zh-CN" w:bidi="ar"/>
        </w:rPr>
        <w:fldChar w:fldCharType="begin"/>
      </w:r>
      <w:r>
        <w:rPr>
          <w:rFonts w:hint="default" w:ascii="仿宋_GB2312" w:hAnsi="微软雅黑" w:eastAsia="仿宋_GB2312" w:cs="仿宋_GB2312"/>
          <w:b w:val="0"/>
          <w:i w:val="0"/>
          <w:caps w:val="0"/>
          <w:color w:val="000000"/>
          <w:spacing w:val="0"/>
          <w:kern w:val="0"/>
          <w:sz w:val="24"/>
          <w:szCs w:val="24"/>
          <w:shd w:val="clear" w:fill="FFFFFF"/>
          <w:lang w:val="en-US" w:eastAsia="zh-CN" w:bidi="ar"/>
        </w:rPr>
        <w:instrText xml:space="preserve">INCLUDEPICTURE \d "http://sbc.jiangnan.edu.cn/__local/3/8F/39/C6470B66982FD3F0C5CF873F415_A955DD5B_F0E3.jpg" \* MERGEFORMATINET </w:instrText>
      </w:r>
      <w:r>
        <w:rPr>
          <w:rFonts w:hint="default" w:ascii="仿宋_GB2312" w:hAnsi="微软雅黑" w:eastAsia="仿宋_GB2312" w:cs="仿宋_GB2312"/>
          <w:b w:val="0"/>
          <w:i w:val="0"/>
          <w:caps w:val="0"/>
          <w:color w:val="000000"/>
          <w:spacing w:val="0"/>
          <w:kern w:val="0"/>
          <w:sz w:val="24"/>
          <w:szCs w:val="24"/>
          <w:shd w:val="clear" w:fill="FFFFFF"/>
          <w:lang w:val="en-US" w:eastAsia="zh-CN" w:bidi="ar"/>
        </w:rPr>
        <w:fldChar w:fldCharType="separate"/>
      </w:r>
      <w:r>
        <w:rPr>
          <w:rFonts w:hint="default" w:ascii="仿宋_GB2312" w:hAnsi="微软雅黑" w:eastAsia="仿宋_GB2312" w:cs="仿宋_GB2312"/>
          <w:b w:val="0"/>
          <w:i w:val="0"/>
          <w:caps w:val="0"/>
          <w:color w:val="000000"/>
          <w:spacing w:val="0"/>
          <w:kern w:val="0"/>
          <w:sz w:val="24"/>
          <w:szCs w:val="24"/>
          <w:shd w:val="clear" w:fill="FFFFFF"/>
          <w:lang w:val="en-US" w:eastAsia="zh-CN" w:bidi="ar"/>
        </w:rPr>
        <w:drawing>
          <wp:inline distT="0" distB="0" distL="114300" distR="114300">
            <wp:extent cx="5182235" cy="4953000"/>
            <wp:effectExtent l="0" t="0" r="18415"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a:stretch>
                      <a:fillRect/>
                    </a:stretch>
                  </pic:blipFill>
                  <pic:spPr>
                    <a:xfrm>
                      <a:off x="0" y="0"/>
                      <a:ext cx="5182235" cy="4953000"/>
                    </a:xfrm>
                    <a:prstGeom prst="rect">
                      <a:avLst/>
                    </a:prstGeom>
                    <a:noFill/>
                    <a:ln w="9525">
                      <a:noFill/>
                    </a:ln>
                  </pic:spPr>
                </pic:pic>
              </a:graphicData>
            </a:graphic>
          </wp:inline>
        </w:drawing>
      </w:r>
      <w:r>
        <w:rPr>
          <w:rFonts w:hint="default" w:ascii="仿宋_GB2312" w:hAnsi="微软雅黑" w:eastAsia="仿宋_GB2312" w:cs="仿宋_GB2312"/>
          <w:b w:val="0"/>
          <w:i w:val="0"/>
          <w:caps w:val="0"/>
          <w:color w:val="000000"/>
          <w:spacing w:val="0"/>
          <w:kern w:val="0"/>
          <w:sz w:val="24"/>
          <w:szCs w:val="24"/>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hint="default" w:ascii="仿宋_GB2312" w:hAnsi="微软雅黑" w:eastAsia="仿宋_GB2312" w:cs="仿宋_GB2312"/>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center"/>
        <w:rPr>
          <w:rFonts w:ascii="仿宋_GB2312" w:hAnsi="宋体" w:eastAsia="仿宋_GB2312" w:cs="仿宋_GB2312"/>
          <w:b w:val="0"/>
          <w:i w:val="0"/>
          <w:caps w:val="0"/>
          <w:color w:val="000000"/>
          <w:spacing w:val="0"/>
          <w:sz w:val="24"/>
          <w:szCs w:val="24"/>
          <w:shd w:val="clear" w:fill="FFFFFF"/>
        </w:rPr>
      </w:pPr>
      <w:r>
        <w:rPr>
          <w:rFonts w:ascii="仿宋_GB2312" w:hAnsi="宋体" w:eastAsia="仿宋_GB2312" w:cs="仿宋_GB2312"/>
          <w:b w:val="0"/>
          <w:i w:val="0"/>
          <w:caps w:val="0"/>
          <w:color w:val="000000"/>
          <w:spacing w:val="0"/>
          <w:sz w:val="24"/>
          <w:szCs w:val="24"/>
          <w:shd w:val="clear" w:fill="FFFFFF"/>
        </w:rPr>
        <w:t>表四 部分国家名称代码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left"/>
        <w:rPr>
          <w:rFonts w:ascii="仿宋_GB2312" w:hAnsi="宋体" w:eastAsia="仿宋_GB2312" w:cs="仿宋_GB2312"/>
          <w:b w:val="0"/>
          <w:i w:val="0"/>
          <w:caps w:val="0"/>
          <w:color w:val="000000"/>
          <w:spacing w:val="0"/>
          <w:sz w:val="24"/>
          <w:szCs w:val="24"/>
          <w:shd w:val="clear" w:fill="FFFFFF"/>
        </w:rPr>
      </w:pPr>
      <w:r>
        <w:rPr>
          <w:rFonts w:ascii="仿宋_GB2312" w:hAnsi="宋体" w:eastAsia="仿宋_GB2312" w:cs="仿宋_GB2312"/>
          <w:b w:val="0"/>
          <w:i w:val="0"/>
          <w:caps w:val="0"/>
          <w:color w:val="000000"/>
          <w:spacing w:val="0"/>
          <w:sz w:val="24"/>
          <w:szCs w:val="24"/>
          <w:shd w:val="clear" w:fill="FFFFFF"/>
        </w:rPr>
        <w:t>（引自《世界各国和地区名称代码》</w:t>
      </w:r>
      <w:r>
        <w:rPr>
          <w:rFonts w:hint="default" w:ascii="仿宋_GB2312" w:hAnsi="宋体" w:eastAsia="仿宋_GB2312" w:cs="仿宋_GB2312"/>
          <w:b w:val="0"/>
          <w:i w:val="0"/>
          <w:caps w:val="0"/>
          <w:color w:val="000000"/>
          <w:spacing w:val="0"/>
          <w:sz w:val="24"/>
          <w:szCs w:val="24"/>
          <w:shd w:val="clear" w:fill="FFFFFF"/>
          <w:lang w:val="en-US"/>
        </w:rPr>
        <w:t> GB/T 2659-2000</w:t>
      </w:r>
      <w:r>
        <w:rPr>
          <w:rFonts w:hint="default" w:ascii="仿宋_GB2312" w:hAnsi="宋体" w:eastAsia="仿宋_GB2312" w:cs="仿宋_GB2312"/>
          <w:b w:val="0"/>
          <w:i w:val="0"/>
          <w:caps w:val="0"/>
          <w:color w:val="000000"/>
          <w:spacing w:val="0"/>
          <w:sz w:val="24"/>
          <w:szCs w:val="24"/>
          <w:shd w:val="clear" w:fill="FFFFFF"/>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both"/>
        <w:rPr>
          <w:rFonts w:ascii="宋体" w:hAnsi="宋体" w:eastAsia="宋体" w:cs="宋体"/>
          <w:sz w:val="24"/>
          <w:szCs w:val="24"/>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"http://sbc.jiangnan.edu.cn/__local/B/AC/5E/61627843979341CBF4FAC83D095_E912C118_20F5C.jpg"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5981700" cy="7839075"/>
            <wp:effectExtent l="0" t="0" r="0" b="952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8"/>
                    <a:stretch>
                      <a:fillRect/>
                    </a:stretch>
                  </pic:blipFill>
                  <pic:spPr>
                    <a:xfrm>
                      <a:off x="0" y="0"/>
                      <a:ext cx="5981700" cy="7839075"/>
                    </a:xfrm>
                    <a:prstGeom prst="rect">
                      <a:avLst/>
                    </a:prstGeom>
                    <a:noFill/>
                    <a:ln w="9525">
                      <a:noFill/>
                    </a:ln>
                  </pic:spPr>
                </pic:pic>
              </a:graphicData>
            </a:graphic>
          </wp:inline>
        </w:drawing>
      </w:r>
      <w:r>
        <w:rPr>
          <w:rFonts w:ascii="宋体" w:hAnsi="宋体" w:eastAsia="宋体" w:cs="宋体"/>
          <w:sz w:val="24"/>
          <w:szCs w:val="24"/>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both"/>
        <w:rPr>
          <w:rFonts w:ascii="宋体" w:hAnsi="宋体" w:eastAsia="宋体" w:cs="宋体"/>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both"/>
        <w:rPr>
          <w:rFonts w:ascii="仿宋_GB2312" w:hAnsi="宋体" w:eastAsia="仿宋_GB2312" w:cs="仿宋_GB2312"/>
          <w:b w:val="0"/>
          <w:i w:val="0"/>
          <w:caps w:val="0"/>
          <w:color w:val="000000"/>
          <w:spacing w:val="0"/>
          <w:sz w:val="24"/>
          <w:szCs w:val="24"/>
          <w:shd w:val="clear" w:fill="FFFFFF"/>
        </w:rPr>
      </w:pPr>
      <w:r>
        <w:rPr>
          <w:rFonts w:ascii="仿宋_GB2312" w:hAnsi="宋体" w:eastAsia="仿宋_GB2312" w:cs="仿宋_GB2312"/>
          <w:b w:val="0"/>
          <w:i w:val="0"/>
          <w:caps w:val="0"/>
          <w:color w:val="000000"/>
          <w:spacing w:val="0"/>
          <w:sz w:val="24"/>
          <w:szCs w:val="24"/>
          <w:shd w:val="clear" w:fill="FFFFFF"/>
        </w:rPr>
        <w:t>表五 常见放射源分类简表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both"/>
        <w:rPr>
          <w:rFonts w:hint="eastAsia" w:ascii="仿宋_GB2312" w:hAnsi="宋体" w:eastAsia="仿宋_GB2312" w:cs="仿宋_GB2312"/>
          <w:b w:val="0"/>
          <w:i w:val="0"/>
          <w:caps w:val="0"/>
          <w:color w:val="000000"/>
          <w:spacing w:val="0"/>
          <w:sz w:val="24"/>
          <w:szCs w:val="24"/>
          <w:shd w:val="clear" w:fill="FFFFFF"/>
          <w:lang w:val="en-US" w:eastAsia="zh-CN"/>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"http://sbc.jiangnan.edu.cn/__local/C/63/9B/07794949315E65A691DC15498DD_65ADDFC2_31A11.jpg"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5552440" cy="8477250"/>
            <wp:effectExtent l="0" t="0" r="10160" b="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9"/>
                    <a:stretch>
                      <a:fillRect/>
                    </a:stretch>
                  </pic:blipFill>
                  <pic:spPr>
                    <a:xfrm>
                      <a:off x="0" y="0"/>
                      <a:ext cx="5552440" cy="8477250"/>
                    </a:xfrm>
                    <a:prstGeom prst="rect">
                      <a:avLst/>
                    </a:prstGeom>
                    <a:noFill/>
                    <a:ln w="9525">
                      <a:noFill/>
                    </a:ln>
                  </pic:spPr>
                </pic:pic>
              </a:graphicData>
            </a:graphic>
          </wp:inline>
        </w:drawing>
      </w:r>
      <w:r>
        <w:rPr>
          <w:rFonts w:ascii="宋体" w:hAnsi="宋体" w:eastAsia="宋体" w:cs="宋体"/>
          <w:sz w:val="24"/>
          <w:szCs w:val="24"/>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tencil Std">
    <w:panose1 w:val="04020904080802020404"/>
    <w:charset w:val="00"/>
    <w:family w:val="auto"/>
    <w:pitch w:val="default"/>
    <w:sig w:usb0="00000003" w:usb1="00000000" w:usb2="00000000" w:usb3="00000000" w:csb0="20000001" w:csb1="00000000"/>
  </w:font>
  <w:font w:name="Adobe 仿宋 Std R">
    <w:panose1 w:val="02020400000000000000"/>
    <w:charset w:val="86"/>
    <w:family w:val="auto"/>
    <w:pitch w:val="default"/>
    <w:sig w:usb0="00000001" w:usb1="0A0F1810" w:usb2="00000016" w:usb3="00000000" w:csb0="00060007"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C5625C"/>
    <w:rsid w:val="3C9E685F"/>
    <w:rsid w:val="7F0A25F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2017-04-07T09:37:20Z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