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5A5A5A"/>
          <w:spacing w:val="0"/>
        </w:rPr>
      </w:pPr>
      <w:r>
        <w:rPr>
          <w:rFonts w:hint="eastAsia" w:ascii="宋体" w:hAnsi="宋体" w:eastAsia="宋体" w:cs="宋体"/>
          <w:i w:val="0"/>
          <w:caps w:val="0"/>
          <w:color w:val="5A5A5A"/>
          <w:spacing w:val="0"/>
          <w:sz w:val="27"/>
          <w:szCs w:val="27"/>
          <w:bdr w:val="none" w:color="auto" w:sz="0" w:space="0"/>
          <w:shd w:val="clear" w:fill="FFFFFF"/>
        </w:rPr>
        <w:t>关于发布放射源分类办法的公告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Style w:val="5"/>
          <w:rFonts w:hint="eastAsia" w:ascii="宋体" w:hAnsi="宋体" w:eastAsia="宋体" w:cs="宋体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发文单位</w:t>
      </w: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：国家环境保护总局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发布日期</w:t>
      </w: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：2005-12-23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执行日期</w:t>
      </w: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：2005-12-23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根据《放射性同位素与射线装置安全和防护条例》（国务院令第449号）关于放射源实行分类管理的规定，我局组织制定了《放射源分类办法》，现予发布。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附件：放射源分类办法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right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二○○五年十二月二十三日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附件：</w:t>
      </w:r>
      <w:bookmarkStart w:id="1" w:name="_GoBack"/>
      <w:bookmarkStart w:id="0" w:name="OLE_LINK1"/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放射源分类办法</w:t>
      </w:r>
      <w:bookmarkEnd w:id="1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根据国务院第449号令《放射性同位素与射线装置安全和防护条例》规定，制定本放射源分类办法。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一、放射源分类原则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参照国际原子能机构的有关规定，按照放射源对人体健康和环境的潜在危害程度，从高到低将放射源分为Ⅰ、Ⅱ、Ⅲ、Ⅳ、Ⅴ类，V类源的下限活度值为该种核素的豁免活度。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（一）Ⅰ类放射源为极高危险源。没有防护情况下，接触这类源几分钟到1小时就可致人死亡；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（二）Ⅱ类放射源为高危险源。没有防护情况下，接触这类源几小时至几天可致人死亡；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（三）Ⅲ类放射源为危险源。没有防护情况下，接触这类源几小时就可对人造成永久性损伤，接触几天至几周也可致人死亡；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（四）Ⅳ类放射源为低危险源。基本不会对人造成永久性损伤，但对长时间、近距离接触这些放射源的人可能造成可恢复的临时性损伤；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（五）Ⅴ类放射源为极低危险源。不会对人造成永久性损伤。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二、放射源分类表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5A5A5A"/>
          <w:spacing w:val="0"/>
          <w:sz w:val="21"/>
          <w:szCs w:val="21"/>
          <w:bdr w:val="none" w:color="auto" w:sz="0" w:space="0"/>
          <w:shd w:val="clear" w:fill="FFFFFF"/>
        </w:rPr>
        <w:t>　　常用不同核素的64种放射源按下列表进行分类。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W w:w="85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1166"/>
        <w:gridCol w:w="885"/>
        <w:gridCol w:w="1185"/>
        <w:gridCol w:w="1125"/>
        <w:gridCol w:w="1050"/>
        <w:gridCol w:w="1260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5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核素名称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I类源</w:t>
            </w:r>
          </w:p>
        </w:tc>
        <w:tc>
          <w:tcPr>
            <w:tcW w:w="1125" w:type="dxa"/>
            <w:tcBorders>
              <w:top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II类源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III类源</w:t>
            </w:r>
          </w:p>
        </w:tc>
        <w:tc>
          <w:tcPr>
            <w:tcW w:w="1260" w:type="dxa"/>
            <w:tcBorders>
              <w:top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IV类源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V类源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18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（贝可）</w:t>
            </w:r>
          </w:p>
        </w:tc>
        <w:tc>
          <w:tcPr>
            <w:tcW w:w="1125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（贝可）</w:t>
            </w:r>
          </w:p>
        </w:tc>
        <w:tc>
          <w:tcPr>
            <w:tcW w:w="10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（贝可）</w:t>
            </w:r>
          </w:p>
        </w:tc>
        <w:tc>
          <w:tcPr>
            <w:tcW w:w="1260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（贝可）</w:t>
            </w:r>
          </w:p>
        </w:tc>
        <w:tc>
          <w:tcPr>
            <w:tcW w:w="12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（贝可）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Am-241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镅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Am-241/Be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镅－铍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Au-198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Ba-133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钡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C-14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Cd-109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Ce-141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铈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Ce-144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铈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Cf-252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锎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Cl-36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Cm-242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锔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Cm-244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锔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Co-57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钴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Co-60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钴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Cr-51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铬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Cs-134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铯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Cs-137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铯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Eu-152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铕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Eu-154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铕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Fe-55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Gd-153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钆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Ge-68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H-3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Hg-203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汞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I-125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碘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I-131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碘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Ir-192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铱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Kr-85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Mo-99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钼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Nb-95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Ni-63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Np-237 (Pa-233)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镎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P-32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Pd-103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钯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≥9×10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Pm-147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钜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Po-210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钋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Pu-238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Pu-239/Be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钚－铍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Pu-239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Pu-240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Pu-242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钚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Ra-226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镭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Re-188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铼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Ru-103 (Rh-103m)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Ru-106</w:t>
            </w: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钌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(Rh-106)</w:t>
            </w: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S-35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≥6×10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Se-75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Sr-89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锶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Sr-90</w:t>
            </w: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锶－钇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(Y-90)</w:t>
            </w: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Tc-99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锝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666666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Te-132 (I-132)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碲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Th-230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Tl-204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Tm-170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铥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Y-90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Y-91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Yb-169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镱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Zn-65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Zr-95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锆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≥1×10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6</w:t>
            </w:r>
          </w:p>
        </w:tc>
      </w:tr>
    </w:tbl>
    <w:p/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注：</w:t>
      </w:r>
      <w:r>
        <w:rPr>
          <w:rFonts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．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Am-241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用于固定式烟雾报警器时的豁免值为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×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10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vertAlign w:val="superscript"/>
          <w:lang w:val="en-US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贝可。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　　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．核素份额不明的混合源，按其危险度最大的核素分类，其总活度视为该核素的活度。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　　三、非密封源分类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　　上述放射源分类原则对非密封源适用。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　　非密封源工作场所按放射性核素日等效最大操作量分为甲、乙、丙三级，具体分级标准见《电离辐射防护与辐射源安全标准》（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>GB 18871-2002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）。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u w:val="none"/>
          <w:bdr w:val="none" w:color="auto" w:sz="0" w:space="0"/>
        </w:rPr>
        <w:t>　　甲级非密封源工作场所的安全管理参照Ⅰ类放射源。</w:t>
      </w:r>
      <w:r>
        <w:rPr>
          <w:rFonts w:hint="default" w:ascii="Arial" w:hAnsi="Arial" w:eastAsia="宋体" w:cs="Arial"/>
          <w:color w:val="000000"/>
          <w:sz w:val="21"/>
          <w:szCs w:val="21"/>
          <w:u w:val="none"/>
          <w:bdr w:val="none" w:color="auto" w:sz="0" w:space="0"/>
          <w:lang w:val="en-US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 w:ascii="Arial" w:hAnsi="Arial" w:eastAsia="宋体" w:cs="Arial"/>
          <w:color w:val="000000"/>
          <w:kern w:val="0"/>
          <w:sz w:val="24"/>
          <w:szCs w:val="21"/>
          <w:u w:val="none"/>
          <w:lang w:val="en-US" w:eastAsia="zh-CN" w:bidi="ar"/>
        </w:rPr>
        <w:t>　　乙级和丙级非密封源工作场所的安全管理参照Ⅱ、Ⅲ类放射源。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encil Std">
    <w:panose1 w:val="04020904080802020404"/>
    <w:charset w:val="00"/>
    <w:family w:val="auto"/>
    <w:pitch w:val="default"/>
    <w:sig w:usb0="00000003" w:usb1="00000000" w:usb2="00000000" w:usb3="00000000" w:csb0="2000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F6395A"/>
    <w:rsid w:val="5EBF12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3F3F3F"/>
      <w:u w:val="none"/>
    </w:rPr>
  </w:style>
  <w:style w:type="character" w:styleId="7">
    <w:name w:val="Hyperlink"/>
    <w:basedOn w:val="4"/>
    <w:uiPriority w:val="0"/>
    <w:rPr>
      <w:color w:val="3F3F3F"/>
      <w:u w:val="none"/>
    </w:rPr>
  </w:style>
  <w:style w:type="character" w:customStyle="1" w:styleId="9">
    <w:name w:val="font21"/>
    <w:basedOn w:val="4"/>
    <w:uiPriority w:val="0"/>
    <w:rPr>
      <w:rFonts w:hint="eastAsia" w:ascii="宋体" w:hAnsi="宋体" w:eastAsia="宋体" w:cs="宋体"/>
      <w:color w:val="666666"/>
      <w:sz w:val="21"/>
      <w:szCs w:val="21"/>
      <w:u w:val="none"/>
      <w:vertAlign w:val="superscript"/>
    </w:rPr>
  </w:style>
  <w:style w:type="character" w:customStyle="1" w:styleId="10">
    <w:name w:val="font11"/>
    <w:basedOn w:val="4"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  <w:vertAlign w:val="superscript"/>
    </w:rPr>
  </w:style>
  <w:style w:type="character" w:customStyle="1" w:styleId="11">
    <w:name w:val="bsharetext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lufei</dc:creator>
  <cp:lastModifiedBy>lufei</cp:lastModifiedBy>
  <dcterms:modified xsi:type="dcterms:W3CDTF">2017-04-07T10:47:24Z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