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before="0" w:beforeAutospacing="0" w:after="312" w:afterAutospacing="0" w:line="380" w:lineRule="atLeast"/>
        <w:ind w:left="0" w:right="0" w:firstLine="723"/>
        <w:jc w:val="center"/>
        <w:rPr>
          <w:rFonts w:hint="eastAsia"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36"/>
          <w:szCs w:val="36"/>
          <w:shd w:val="clear" w:fill="FFFFFF"/>
          <w:lang w:val="en-US" w:eastAsia="zh-CN" w:bidi="ar"/>
        </w:rPr>
        <w:t>国家安全生产监督管理总局令</w:t>
      </w:r>
    </w:p>
    <w:p>
      <w:pPr>
        <w:keepNext w:val="0"/>
        <w:keepLines w:val="0"/>
        <w:widowControl/>
        <w:suppressLineNumbers w:val="0"/>
        <w:shd w:val="clear" w:fill="FFFFFF"/>
        <w:spacing w:before="0" w:beforeAutospacing="0" w:after="312" w:afterAutospacing="0" w:line="380" w:lineRule="atLeast"/>
        <w:ind w:left="0" w:right="0" w:firstLine="420"/>
        <w:jc w:val="center"/>
        <w:rPr>
          <w:rFonts w:hint="default" w:ascii="Arial" w:hAnsi="Arial" w:cs="Arial"/>
          <w:b w:val="0"/>
          <w:i w:val="0"/>
          <w:caps w:val="0"/>
          <w:color w:val="000000"/>
          <w:spacing w:val="0"/>
          <w:sz w:val="21"/>
          <w:szCs w:val="21"/>
        </w:rPr>
      </w:pPr>
      <w:r>
        <w:rPr>
          <w:rFonts w:ascii="楷体_gb2312" w:hAnsi="楷体_gb2312" w:eastAsia="楷体_gb2312" w:cs="楷体_gb2312"/>
          <w:b w:val="0"/>
          <w:i w:val="0"/>
          <w:caps w:val="0"/>
          <w:color w:val="000000"/>
          <w:spacing w:val="0"/>
          <w:kern w:val="0"/>
          <w:sz w:val="21"/>
          <w:szCs w:val="21"/>
          <w:shd w:val="clear" w:fill="FFFFFF"/>
          <w:lang w:val="en-US" w:eastAsia="zh-CN" w:bidi="ar"/>
        </w:rPr>
        <w:t>第</w:t>
      </w:r>
      <w:r>
        <w:rPr>
          <w:rFonts w:hint="default" w:ascii="楷体_gb2312" w:hAnsi="楷体_gb2312" w:eastAsia="楷体_gb2312" w:cs="楷体_gb2312"/>
          <w:b w:val="0"/>
          <w:i w:val="0"/>
          <w:caps w:val="0"/>
          <w:color w:val="000000"/>
          <w:spacing w:val="0"/>
          <w:kern w:val="0"/>
          <w:sz w:val="21"/>
          <w:szCs w:val="21"/>
          <w:shd w:val="clear" w:fill="FFFFFF"/>
          <w:lang w:val="en-US" w:eastAsia="zh-CN" w:bidi="ar"/>
        </w:rPr>
        <w:t>57号</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《危险化学品安全使用许可证实施办法》已经</w:t>
      </w:r>
      <w:r>
        <w:rPr>
          <w:rFonts w:hint="default" w:ascii="Arial" w:hAnsi="Arial" w:cs="Arial" w:eastAsiaTheme="minorEastAsia"/>
          <w:b w:val="0"/>
          <w:i w:val="0"/>
          <w:caps w:val="0"/>
          <w:color w:val="000000"/>
          <w:spacing w:val="0"/>
          <w:kern w:val="0"/>
          <w:sz w:val="21"/>
          <w:szCs w:val="21"/>
          <w:shd w:val="clear" w:fill="FFFFFF"/>
          <w:lang w:val="en-US" w:eastAsia="zh-CN" w:bidi="ar"/>
        </w:rPr>
        <w:t>2012</w:t>
      </w:r>
      <w:r>
        <w:rPr>
          <w:rFonts w:hint="eastAsia" w:ascii="宋体" w:hAnsi="宋体" w:eastAsia="宋体" w:cs="宋体"/>
          <w:b w:val="0"/>
          <w:i w:val="0"/>
          <w:caps w:val="0"/>
          <w:color w:val="000000"/>
          <w:spacing w:val="0"/>
          <w:kern w:val="0"/>
          <w:sz w:val="21"/>
          <w:szCs w:val="21"/>
          <w:shd w:val="clear" w:fill="FFFFFF"/>
          <w:lang w:val="en-US" w:eastAsia="zh-CN" w:bidi="ar"/>
        </w:rPr>
        <w:t>年</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29</w:t>
      </w:r>
      <w:r>
        <w:rPr>
          <w:rFonts w:hint="eastAsia" w:ascii="宋体" w:hAnsi="宋体" w:eastAsia="宋体" w:cs="宋体"/>
          <w:b w:val="0"/>
          <w:i w:val="0"/>
          <w:caps w:val="0"/>
          <w:color w:val="000000"/>
          <w:spacing w:val="0"/>
          <w:kern w:val="0"/>
          <w:sz w:val="21"/>
          <w:szCs w:val="21"/>
          <w:shd w:val="clear" w:fill="FFFFFF"/>
          <w:lang w:val="en-US" w:eastAsia="zh-CN" w:bidi="ar"/>
        </w:rPr>
        <w:t>日国家安全生产监督管理总局局长办公会议审议通过，现予公布，自</w:t>
      </w:r>
      <w:r>
        <w:rPr>
          <w:rFonts w:hint="default" w:ascii="Arial" w:hAnsi="Arial" w:cs="Arial" w:eastAsiaTheme="minorEastAsia"/>
          <w:b w:val="0"/>
          <w:i w:val="0"/>
          <w:caps w:val="0"/>
          <w:color w:val="000000"/>
          <w:spacing w:val="0"/>
          <w:kern w:val="0"/>
          <w:sz w:val="21"/>
          <w:szCs w:val="21"/>
          <w:shd w:val="clear" w:fill="FFFFFF"/>
          <w:lang w:val="en-US" w:eastAsia="zh-CN" w:bidi="ar"/>
        </w:rPr>
        <w:t>2013</w:t>
      </w:r>
      <w:r>
        <w:rPr>
          <w:rFonts w:hint="eastAsia" w:ascii="宋体" w:hAnsi="宋体" w:eastAsia="宋体" w:cs="宋体"/>
          <w:b w:val="0"/>
          <w:i w:val="0"/>
          <w:caps w:val="0"/>
          <w:color w:val="000000"/>
          <w:spacing w:val="0"/>
          <w:kern w:val="0"/>
          <w:sz w:val="21"/>
          <w:szCs w:val="21"/>
          <w:shd w:val="clear" w:fill="FFFFFF"/>
          <w:lang w:val="en-US" w:eastAsia="zh-CN" w:bidi="ar"/>
        </w:rPr>
        <w:t>年</w:t>
      </w:r>
      <w:r>
        <w:rPr>
          <w:rFonts w:hint="default" w:ascii="Arial" w:hAnsi="Arial" w:cs="Arial" w:eastAsiaTheme="minorEastAsia"/>
          <w:b w:val="0"/>
          <w:i w:val="0"/>
          <w:caps w:val="0"/>
          <w:color w:val="000000"/>
          <w:spacing w:val="0"/>
          <w:kern w:val="0"/>
          <w:sz w:val="21"/>
          <w:szCs w:val="21"/>
          <w:shd w:val="clear" w:fill="FFFFFF"/>
          <w:lang w:val="en-US" w:eastAsia="zh-CN" w:bidi="ar"/>
        </w:rPr>
        <w:t>5</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日起施行。</w:t>
      </w:r>
    </w:p>
    <w:p>
      <w:pPr>
        <w:keepNext w:val="0"/>
        <w:keepLines w:val="0"/>
        <w:widowControl/>
        <w:suppressLineNumbers w:val="0"/>
        <w:shd w:val="clear" w:fill="FFFFFF"/>
        <w:spacing w:before="0" w:beforeAutospacing="0" w:after="312" w:afterAutospacing="0" w:line="380" w:lineRule="atLeast"/>
        <w:ind w:left="0" w:right="0" w:firstLine="420"/>
        <w:jc w:val="righ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国家安全监管总局局长</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杨栋梁</w:t>
      </w:r>
    </w:p>
    <w:p>
      <w:pPr>
        <w:keepNext w:val="0"/>
        <w:keepLines w:val="0"/>
        <w:widowControl/>
        <w:suppressLineNumbers w:val="0"/>
        <w:shd w:val="clear" w:fill="FFFFFF"/>
        <w:spacing w:before="0" w:beforeAutospacing="0" w:after="312" w:afterAutospacing="0" w:line="380" w:lineRule="atLeast"/>
        <w:ind w:left="0" w:right="0" w:firstLine="420"/>
        <w:jc w:val="right"/>
        <w:rPr>
          <w:rFonts w:hint="default" w:ascii="Arial" w:hAnsi="Arial" w:cs="Arial"/>
          <w:b w:val="0"/>
          <w:i w:val="0"/>
          <w:caps w:val="0"/>
          <w:color w:val="000000"/>
          <w:spacing w:val="0"/>
          <w:sz w:val="21"/>
          <w:szCs w:val="21"/>
        </w:rPr>
      </w:pPr>
      <w:r>
        <w:rPr>
          <w:rFonts w:hint="default" w:ascii="Arial" w:hAnsi="Arial" w:cs="Arial" w:eastAsiaTheme="minorEastAsia"/>
          <w:b w:val="0"/>
          <w:i w:val="0"/>
          <w:caps w:val="0"/>
          <w:color w:val="000000"/>
          <w:spacing w:val="0"/>
          <w:kern w:val="0"/>
          <w:sz w:val="21"/>
          <w:szCs w:val="21"/>
          <w:shd w:val="clear" w:fill="FFFFFF"/>
          <w:lang w:val="en-US" w:eastAsia="zh-CN" w:bidi="ar"/>
        </w:rPr>
        <w:t>2012</w:t>
      </w:r>
      <w:r>
        <w:rPr>
          <w:rFonts w:hint="eastAsia" w:ascii="宋体" w:hAnsi="宋体" w:eastAsia="宋体" w:cs="宋体"/>
          <w:b w:val="0"/>
          <w:i w:val="0"/>
          <w:caps w:val="0"/>
          <w:color w:val="000000"/>
          <w:spacing w:val="0"/>
          <w:kern w:val="0"/>
          <w:sz w:val="21"/>
          <w:szCs w:val="21"/>
          <w:shd w:val="clear" w:fill="FFFFFF"/>
          <w:lang w:val="en-US" w:eastAsia="zh-CN" w:bidi="ar"/>
        </w:rPr>
        <w:t>年</w:t>
      </w:r>
      <w:r>
        <w:rPr>
          <w:rFonts w:hint="default" w:ascii="Arial" w:hAnsi="Arial" w:cs="Arial" w:eastAsiaTheme="minorEastAsia"/>
          <w:b w:val="0"/>
          <w:i w:val="0"/>
          <w:caps w:val="0"/>
          <w:color w:val="000000"/>
          <w:spacing w:val="0"/>
          <w:kern w:val="0"/>
          <w:sz w:val="21"/>
          <w:szCs w:val="21"/>
          <w:shd w:val="clear" w:fill="FFFFFF"/>
          <w:lang w:val="en-US" w:eastAsia="zh-CN" w:bidi="ar"/>
        </w:rPr>
        <w:t>11</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16</w:t>
      </w:r>
      <w:r>
        <w:rPr>
          <w:rFonts w:hint="eastAsia" w:ascii="宋体" w:hAnsi="宋体" w:eastAsia="宋体" w:cs="宋体"/>
          <w:b w:val="0"/>
          <w:i w:val="0"/>
          <w:caps w:val="0"/>
          <w:color w:val="000000"/>
          <w:spacing w:val="0"/>
          <w:kern w:val="0"/>
          <w:sz w:val="21"/>
          <w:szCs w:val="21"/>
          <w:shd w:val="clear" w:fill="FFFFFF"/>
          <w:lang w:val="en-US" w:eastAsia="zh-CN" w:bidi="ar"/>
        </w:rPr>
        <w:t>日</w:t>
      </w:r>
    </w:p>
    <w:p>
      <w:pPr>
        <w:keepNext w:val="0"/>
        <w:keepLines w:val="0"/>
        <w:widowControl/>
        <w:suppressLineNumbers w:val="0"/>
        <w:shd w:val="clear" w:fill="FFFFFF"/>
        <w:spacing w:before="0" w:beforeAutospacing="0" w:after="312" w:afterAutospacing="0" w:line="380" w:lineRule="atLeast"/>
        <w:ind w:left="0" w:right="0" w:firstLine="643"/>
        <w:jc w:val="center"/>
        <w:rPr>
          <w:rFonts w:hint="default" w:ascii="Arial" w:hAnsi="Arial" w:cs="Arial"/>
          <w:b w:val="0"/>
          <w:i w:val="0"/>
          <w:caps w:val="0"/>
          <w:color w:val="000000"/>
          <w:spacing w:val="0"/>
          <w:sz w:val="21"/>
          <w:szCs w:val="21"/>
        </w:rPr>
      </w:pPr>
      <w:bookmarkStart w:id="0" w:name="_GoBack"/>
      <w:r>
        <w:rPr>
          <w:rFonts w:hint="eastAsia" w:ascii="宋体" w:hAnsi="宋体" w:eastAsia="宋体" w:cs="宋体"/>
          <w:b/>
          <w:i w:val="0"/>
          <w:caps w:val="0"/>
          <w:color w:val="000000"/>
          <w:spacing w:val="0"/>
          <w:kern w:val="0"/>
          <w:sz w:val="32"/>
          <w:szCs w:val="32"/>
          <w:shd w:val="clear" w:fill="FFFFFF"/>
          <w:lang w:val="en-US" w:eastAsia="zh-CN" w:bidi="ar"/>
        </w:rPr>
        <w:t>危险化学品安全使用许可证实施办法</w:t>
      </w:r>
    </w:p>
    <w:bookmarkEnd w:id="0"/>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第一章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总</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第一条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为了严格使用危险化学品从事生产的化工企业安全生产条件，规范危险化学品安全使用许可证的颁发和管理工作，根据《危险化学品安全管理条例》和有关法律、行政法规，制定本办法。</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本办法适用于列入危险化学品安全使用许可适用行业目录、使用危险化学品从事生产并且达到危险化学品使用量的数量标准的化工企业（危险化学品生产企业除外，以下简称企业）。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使用危险化学品作为燃料的企业不适用本办法。</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企业应当依照本办法的规定取得危险化学品安全使用许可证（以下简称安全使用许可证）。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安全使用许可证的颁发管理工作实行企业申请、市级发证、属地监管的原则。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第五条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国家安全生产监督管理总局负责指导、监督全国安全使用许可证的颁发管理工作。</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省、自治区、直辖市人民政府安全生产监督管理部门（以下简称省级安全生产监督管理部门）负责指导、监督本行政区域内安全使用许可证的颁发管理工作。</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设区的市级人民政府安全生产监督管理部门（以下简称发证机关）负责本行政区域内安全使用许可证的审批、颁发和管理，不得再委托其他单位、组织或者个人实施。</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第二章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申请安全使用许可证的条件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第六条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企业与重要场所、设施、区域的距离和总体布局应当符合下列要求，并确保安全：</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（一）储存危险化学品数量构成重大危险源的储存设施，与《危险化学品安全管理条例》第十九条第一款规定的八类场所、设施、区域的距离符合国家有关法律、法规、规章和国家标准或者行业标准的规定；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（二）总体布局符合《工业企业总平面设计规范》（</w:t>
      </w:r>
      <w:r>
        <w:rPr>
          <w:rFonts w:hint="default" w:ascii="Arial" w:hAnsi="Arial" w:cs="Arial" w:eastAsiaTheme="minorEastAsia"/>
          <w:b w:val="0"/>
          <w:i w:val="0"/>
          <w:caps w:val="0"/>
          <w:color w:val="000000"/>
          <w:spacing w:val="0"/>
          <w:kern w:val="0"/>
          <w:sz w:val="21"/>
          <w:szCs w:val="21"/>
          <w:shd w:val="clear" w:fill="FFFFFF"/>
          <w:lang w:val="en-US" w:eastAsia="zh-CN" w:bidi="ar"/>
        </w:rPr>
        <w:t>GB50187</w:t>
      </w:r>
      <w:r>
        <w:rPr>
          <w:rFonts w:hint="eastAsia" w:ascii="宋体" w:hAnsi="宋体" w:eastAsia="宋体" w:cs="宋体"/>
          <w:b w:val="0"/>
          <w:i w:val="0"/>
          <w:caps w:val="0"/>
          <w:color w:val="000000"/>
          <w:spacing w:val="0"/>
          <w:kern w:val="0"/>
          <w:sz w:val="21"/>
          <w:szCs w:val="21"/>
          <w:shd w:val="clear" w:fill="FFFFFF"/>
          <w:lang w:val="en-US" w:eastAsia="zh-CN" w:bidi="ar"/>
        </w:rPr>
        <w:t>）、《化工企业总图运输设计规范》（</w:t>
      </w:r>
      <w:r>
        <w:rPr>
          <w:rFonts w:hint="default" w:ascii="Arial" w:hAnsi="Arial" w:cs="Arial" w:eastAsiaTheme="minorEastAsia"/>
          <w:b w:val="0"/>
          <w:i w:val="0"/>
          <w:caps w:val="0"/>
          <w:color w:val="000000"/>
          <w:spacing w:val="0"/>
          <w:kern w:val="0"/>
          <w:sz w:val="21"/>
          <w:szCs w:val="21"/>
          <w:shd w:val="clear" w:fill="FFFFFF"/>
          <w:lang w:val="en-US" w:eastAsia="zh-CN" w:bidi="ar"/>
        </w:rPr>
        <w:t>GB50489</w:t>
      </w:r>
      <w:r>
        <w:rPr>
          <w:rFonts w:hint="eastAsia" w:ascii="宋体" w:hAnsi="宋体" w:eastAsia="宋体" w:cs="宋体"/>
          <w:b w:val="0"/>
          <w:i w:val="0"/>
          <w:caps w:val="0"/>
          <w:color w:val="000000"/>
          <w:spacing w:val="0"/>
          <w:kern w:val="0"/>
          <w:sz w:val="21"/>
          <w:szCs w:val="21"/>
          <w:shd w:val="clear" w:fill="FFFFFF"/>
          <w:lang w:val="en-US" w:eastAsia="zh-CN" w:bidi="ar"/>
        </w:rPr>
        <w:t>）、《建筑设计防火规范》（</w:t>
      </w:r>
      <w:r>
        <w:rPr>
          <w:rFonts w:hint="default" w:ascii="Arial" w:hAnsi="Arial" w:cs="Arial" w:eastAsiaTheme="minorEastAsia"/>
          <w:b w:val="0"/>
          <w:i w:val="0"/>
          <w:caps w:val="0"/>
          <w:color w:val="000000"/>
          <w:spacing w:val="0"/>
          <w:kern w:val="0"/>
          <w:sz w:val="21"/>
          <w:szCs w:val="21"/>
          <w:shd w:val="clear" w:fill="FFFFFF"/>
          <w:lang w:val="en-US" w:eastAsia="zh-CN" w:bidi="ar"/>
        </w:rPr>
        <w:t>GB50016</w:t>
      </w:r>
      <w:r>
        <w:rPr>
          <w:rFonts w:hint="eastAsia" w:ascii="宋体" w:hAnsi="宋体" w:eastAsia="宋体" w:cs="宋体"/>
          <w:b w:val="0"/>
          <w:i w:val="0"/>
          <w:caps w:val="0"/>
          <w:color w:val="000000"/>
          <w:spacing w:val="0"/>
          <w:kern w:val="0"/>
          <w:sz w:val="21"/>
          <w:szCs w:val="21"/>
          <w:shd w:val="clear" w:fill="FFFFFF"/>
          <w:lang w:val="en-US" w:eastAsia="zh-CN" w:bidi="ar"/>
        </w:rPr>
        <w:t>）等相关标准的要求；石油化工企业还应当符合《石油化工企业设计防火规范》（</w:t>
      </w:r>
      <w:r>
        <w:rPr>
          <w:rFonts w:hint="default" w:ascii="Arial" w:hAnsi="Arial" w:cs="Arial" w:eastAsiaTheme="minorEastAsia"/>
          <w:b w:val="0"/>
          <w:i w:val="0"/>
          <w:caps w:val="0"/>
          <w:color w:val="000000"/>
          <w:spacing w:val="0"/>
          <w:kern w:val="0"/>
          <w:sz w:val="21"/>
          <w:szCs w:val="21"/>
          <w:shd w:val="clear" w:fill="FFFFFF"/>
          <w:lang w:val="en-US" w:eastAsia="zh-CN" w:bidi="ar"/>
        </w:rPr>
        <w:t>GB50160</w:t>
      </w:r>
      <w:r>
        <w:rPr>
          <w:rFonts w:hint="eastAsia" w:ascii="宋体" w:hAnsi="宋体" w:eastAsia="宋体" w:cs="宋体"/>
          <w:b w:val="0"/>
          <w:i w:val="0"/>
          <w:caps w:val="0"/>
          <w:color w:val="000000"/>
          <w:spacing w:val="0"/>
          <w:kern w:val="0"/>
          <w:sz w:val="21"/>
          <w:szCs w:val="21"/>
          <w:shd w:val="clear" w:fill="FFFFFF"/>
          <w:lang w:val="en-US" w:eastAsia="zh-CN" w:bidi="ar"/>
        </w:rPr>
        <w:t>）的要求；</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（三）新建企业符合国家产业政策、当地县级以上（含县级）人民政府的规划和布局。</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第七条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企业的厂房、作业场所、储存设施和安全设施、设备、工艺应当符合下列要求：</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新建、改建、扩建使用危险化学品的化工建设项目（以下统称建设项目）由具备国家规定资质的设计单位设计和施工单位建设；其中，涉及国家安全生产监督管理总局公布的重点监管危险化工工艺、重点监管危险化学品的装置，由具备石油化工医药行业相应资质的设计单位设计；</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不得采用国家明令淘汰、禁止使用和危及安全生产的工艺、设备；新开发的使用危险化学品从事化工生产的工艺（以下简称化工工艺），在小试、中试、工业化试验的基础上逐步放大到工业化生产；国内首次使用的化工工艺，经过省级人民政府有关部门组织的安全可靠性论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涉及国家安全生产监督管理总局公布的重点监管危险化工工艺、重点监管危险化学品的装置装设自动化控制系统；涉及国家安全生产监督管理总局公布的重点监管危险化工工艺的大型化工装置装设紧急停车系统；涉及易燃易爆、有毒有害气体化学品的作业场所装设易燃易爆、有毒有害介质泄漏报警等安全设施；</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（四）新建企业的生产区与非生产区分开设置，并符合国家标准或者行业标准规定的距离；</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（五）新建企业的生产装置和储存设施之间及其建（构）筑物之间的距离符合国家标准或者行业标准的规定。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同一厂区内（生产或者储存区域）的设备、设施及建</w:t>
      </w:r>
      <w:r>
        <w:rPr>
          <w:rFonts w:hint="default" w:ascii="Arial" w:hAnsi="Arial" w:cs="Arial" w:eastAsiaTheme="minorEastAsia"/>
          <w:b w:val="0"/>
          <w:i w:val="0"/>
          <w:caps w:val="0"/>
          <w:color w:val="000000"/>
          <w:spacing w:val="0"/>
          <w:kern w:val="0"/>
          <w:sz w:val="21"/>
          <w:szCs w:val="21"/>
          <w:shd w:val="clear" w:fill="FFFFFF"/>
          <w:lang w:val="en-US" w:eastAsia="zh-CN" w:bidi="ar"/>
        </w:rPr>
        <w:t>(</w:t>
      </w:r>
      <w:r>
        <w:rPr>
          <w:rFonts w:hint="eastAsia" w:ascii="宋体" w:hAnsi="宋体" w:eastAsia="宋体" w:cs="宋体"/>
          <w:b w:val="0"/>
          <w:i w:val="0"/>
          <w:caps w:val="0"/>
          <w:color w:val="000000"/>
          <w:spacing w:val="0"/>
          <w:kern w:val="0"/>
          <w:sz w:val="21"/>
          <w:szCs w:val="21"/>
          <w:shd w:val="clear" w:fill="FFFFFF"/>
          <w:lang w:val="en-US" w:eastAsia="zh-CN" w:bidi="ar"/>
        </w:rPr>
        <w:t>构</w:t>
      </w:r>
      <w:r>
        <w:rPr>
          <w:rFonts w:hint="default" w:ascii="Arial" w:hAnsi="Arial" w:cs="Arial" w:eastAsiaTheme="minorEastAsia"/>
          <w:b w:val="0"/>
          <w:i w:val="0"/>
          <w:caps w:val="0"/>
          <w:color w:val="000000"/>
          <w:spacing w:val="0"/>
          <w:kern w:val="0"/>
          <w:sz w:val="21"/>
          <w:szCs w:val="21"/>
          <w:shd w:val="clear" w:fill="FFFFFF"/>
          <w:lang w:val="en-US" w:eastAsia="zh-CN" w:bidi="ar"/>
        </w:rPr>
        <w:t>)</w:t>
      </w:r>
      <w:r>
        <w:rPr>
          <w:rFonts w:hint="eastAsia" w:ascii="宋体" w:hAnsi="宋体" w:eastAsia="宋体" w:cs="宋体"/>
          <w:b w:val="0"/>
          <w:i w:val="0"/>
          <w:caps w:val="0"/>
          <w:color w:val="000000"/>
          <w:spacing w:val="0"/>
          <w:kern w:val="0"/>
          <w:sz w:val="21"/>
          <w:szCs w:val="21"/>
          <w:shd w:val="clear" w:fill="FFFFFF"/>
          <w:lang w:val="en-US" w:eastAsia="zh-CN" w:bidi="ar"/>
        </w:rPr>
        <w:t>筑物的布置应当适用同一标准的规定。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第八条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企业应当依法设置安全生产管理机构，按照国家规定配备专职安全生产管理人员。配备的专职安全生产管理人员必须能够满足安全生产的需要。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第九条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企业主要负责人、分管安全负责人和安全生产管理人员必须具备与其从事生产经营活动相适应的安全知识和管理能力，参加安全资格培训，并经考核合格，取得安全资格证书。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特种作业人员应当依照《特种作业人员安全技术培训考核管理规定》，经专门的安全技术培训并考核合格，取得特种作业操作证书。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本条第一款、第二款规定以外的其他从业人员应当按照国家有关规定，经安全教育培训合格。</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企业应当建立全员安全生产责任制，保证每位从业人员的安全生产责任与职务、岗位相匹配。</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第十一条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企业根据化工工艺、装置、设施等实际情况，至少应当制定、完善下列主要安全生产规章制度：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（一）安全生产例会等安全生产会议制度；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（二）安全投入保障制度；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（三）安全生产奖惩制度；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（四）安全培训教育制度；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（五）领导干部轮流现场带班制度；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（六）特种作业人员管理制度；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（七）安全检查和隐患排查治理制度；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（八）重大危险源的评估和安全管理制度；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（九）变更管理制度；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（十）应急管理制度；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（十一）生产安全事故或者重大事件管理制度；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（十二）防火、防爆、防中毒、防泄漏管理制度</w:t>
      </w:r>
      <w:r>
        <w:rPr>
          <w:rFonts w:hint="default" w:ascii="Arial" w:hAnsi="Arial" w:cs="Arial" w:eastAsiaTheme="minorEastAsia"/>
          <w:b w:val="0"/>
          <w:i w:val="0"/>
          <w:caps w:val="0"/>
          <w:color w:val="000000"/>
          <w:spacing w:val="0"/>
          <w:kern w:val="0"/>
          <w:sz w:val="21"/>
          <w:szCs w:val="21"/>
          <w:shd w:val="clear" w:fill="FFFFFF"/>
          <w:lang w:val="en-US" w:eastAsia="zh-CN" w:bidi="ar"/>
        </w:rPr>
        <w:t>;</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（十三）工艺、设备、电气仪表、公用工程安全管理制度；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（十四）动火、进入受限空间、吊装、高处、盲板抽堵、临时用电、动土、断路、设备检维修等作业安全管理制度；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（十五）危险化学品安全管理制度；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（十六）职业健康相关管理制度；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（十七）劳动防护用品使用维护管理制度；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（十八）承包商管理制度；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（十九）安全管理制度及操作规程定期修订制度。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第十二条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企业应当根据工艺、技术、设备特点和原辅料的危险性等情况编制岗位安全操作规程。</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第十三条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企业应当依法委托具备国家规定资质条件的安全评价机构进行安全评价，并按照安全评价报告的意见对存在的安全生产问题进行整改。</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第十四条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企业应当有相应的职业病危害防护设施，并为从业人员配备符合国家标准或者行业标准的劳动防护用品。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第十五条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企业应当依据《危险化学品重大危险源辨识》</w:t>
      </w:r>
      <w:r>
        <w:rPr>
          <w:rFonts w:hint="default" w:ascii="Arial" w:hAnsi="Arial" w:cs="Arial" w:eastAsiaTheme="minorEastAsia"/>
          <w:b w:val="0"/>
          <w:i w:val="0"/>
          <w:caps w:val="0"/>
          <w:color w:val="000000"/>
          <w:spacing w:val="0"/>
          <w:kern w:val="0"/>
          <w:sz w:val="21"/>
          <w:szCs w:val="21"/>
          <w:shd w:val="clear" w:fill="FFFFFF"/>
          <w:lang w:val="en-US" w:eastAsia="zh-CN" w:bidi="ar"/>
        </w:rPr>
        <w:t>(GB18218)</w:t>
      </w:r>
      <w:r>
        <w:rPr>
          <w:rFonts w:hint="eastAsia" w:ascii="宋体" w:hAnsi="宋体" w:eastAsia="宋体" w:cs="宋体"/>
          <w:b w:val="0"/>
          <w:i w:val="0"/>
          <w:caps w:val="0"/>
          <w:color w:val="000000"/>
          <w:spacing w:val="0"/>
          <w:kern w:val="0"/>
          <w:sz w:val="21"/>
          <w:szCs w:val="21"/>
          <w:shd w:val="clear" w:fill="FFFFFF"/>
          <w:lang w:val="en-US" w:eastAsia="zh-CN" w:bidi="ar"/>
        </w:rPr>
        <w:t>，对本企业的生产、储存和使用装置、设施或者场所进行重大危险源辨识。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对于已经确定为重大危险源的，应当按照《危险化学品重大危险源监督管理暂行规定》进行安全管理。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第十六条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企业应当符合下列应急管理要求：</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（一）按照国家有关规定编制危险化学品事故应急预案，并报送有关部门备案；</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（二）建立应急救援组织，明确应急救援人员，配备必要的应急救援器材、设备设施，并按照规定定期进行应急预案演练。</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储存和使用氯气、氨气等对皮肤有强烈刺激的吸入性有毒有害气体的企业，除符合本条第一款的规定外，还应当配备至少两套以上全封闭防化服；构成重大危险源的，还应当设立气体防护站（组）。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第十七条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企业除符合本章规定的安全使用条件外，还应当符合有关法律、行政法规和国家标准或者行业标准规定的其他安全使用条件。</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第三章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安全使用许可证的申请</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第十八条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企业向发证机关申请安全使用许可证时，应当提交下列文件、资料，并对其内容的真实性负责：</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（一）申请安全使用许可证的文件及申请书；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（二）新建企业的选址布局符合国家产业政策、当地县级以上人民政府的规划和布局的证明材料复制件；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（三）安全生产责任制文件，安全生产规章制度、岗位安全操作规程清单；</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（四）设置安全生产管理机构，配备专职安全生产管理人员的文件复制件；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（五）主要负责人、分管安全负责人、安全生产管理人员安全资格证和特种作业人员操作证复制件；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（六）危险化学品事故应急救援预案的备案证明文件；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（七）由供货单位提供的所使用危险化学品的安全技术说明书和安全标签；</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（八）工商营业执照副本或者工商核准文件复制件；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（九）安全评价报告及其整改结果的报告；</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（十）新建企业的建设项目安全设施</w:t>
      </w:r>
      <w:r>
        <w:rPr>
          <w:rFonts w:hint="default" w:ascii="Arial" w:hAnsi="Arial" w:cs="Arial" w:eastAsiaTheme="minorEastAsia"/>
          <w:b w:val="0"/>
          <w:i w:val="0"/>
          <w:caps w:val="0"/>
          <w:color w:val="000000"/>
          <w:spacing w:val="0"/>
          <w:kern w:val="0"/>
          <w:sz w:val="21"/>
          <w:szCs w:val="21"/>
          <w:shd w:val="clear" w:fill="FFFFFF"/>
          <w:lang w:val="en-US" w:eastAsia="zh-CN" w:bidi="ar"/>
        </w:rPr>
        <w:t>竣工验收报告</w:t>
      </w:r>
      <w:r>
        <w:rPr>
          <w:rFonts w:hint="eastAsia" w:ascii="宋体" w:hAnsi="宋体" w:eastAsia="宋体" w:cs="宋体"/>
          <w:b w:val="0"/>
          <w:i w:val="0"/>
          <w:caps w:val="0"/>
          <w:color w:val="000000"/>
          <w:spacing w:val="0"/>
          <w:kern w:val="0"/>
          <w:sz w:val="21"/>
          <w:szCs w:val="21"/>
          <w:shd w:val="clear" w:fill="FFFFFF"/>
          <w:lang w:val="en-US" w:eastAsia="zh-CN" w:bidi="ar"/>
        </w:rPr>
        <w:t>；</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（十一）应急救援组织、应急救援人员，以及应急救援器材、设备设施清单。</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有危险化学品重大危险源的企业，除应当提交本条第一款规定的文件、资料外，还应当提交重大危险源的备案证明文件。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第十九条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新建企业安全使用许可证的申请，应当在建设项目安全设施竣工验收通过之日起</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个工作日内提出。</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第四章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安全使用许可证的颁发</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发证机关收到企业申请文件、资料后，应当按照下列情况分别作出处理：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（一）申请事项依法不需要取得安全使用许可证的，当场告知企业不予受理；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（二）申请材料存在可以当场更正的错误的，允许企业当场更正；</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（三）申请材料不齐全或者不符合法定形式的，当场或者在</w:t>
      </w:r>
      <w:r>
        <w:rPr>
          <w:rFonts w:hint="default" w:ascii="Arial" w:hAnsi="Arial" w:cs="Arial" w:eastAsiaTheme="minorEastAsia"/>
          <w:b w:val="0"/>
          <w:i w:val="0"/>
          <w:caps w:val="0"/>
          <w:color w:val="000000"/>
          <w:spacing w:val="0"/>
          <w:kern w:val="0"/>
          <w:sz w:val="21"/>
          <w:szCs w:val="21"/>
          <w:shd w:val="clear" w:fill="FFFFFF"/>
          <w:lang w:val="en-US" w:eastAsia="zh-CN" w:bidi="ar"/>
        </w:rPr>
        <w:t>5</w:t>
      </w:r>
      <w:r>
        <w:rPr>
          <w:rFonts w:hint="eastAsia" w:ascii="宋体" w:hAnsi="宋体" w:eastAsia="宋体" w:cs="宋体"/>
          <w:b w:val="0"/>
          <w:i w:val="0"/>
          <w:caps w:val="0"/>
          <w:color w:val="000000"/>
          <w:spacing w:val="0"/>
          <w:kern w:val="0"/>
          <w:sz w:val="21"/>
          <w:szCs w:val="21"/>
          <w:shd w:val="clear" w:fill="FFFFFF"/>
          <w:lang w:val="en-US" w:eastAsia="zh-CN" w:bidi="ar"/>
        </w:rPr>
        <w:t>个工作日内一次告知企业需要补正的全部内容，并出具补正告知书；逾期不告知的，自收到申请材料之日起即为受理；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（四）企业申请材料齐全、符合法定形式，或者按照发证机关要求提交全部补正申请材料的，立即受理其申请。</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发证机关受理或者不予受理行政许可申请，应当出具加盖本机关专用印章和注明日期的书面凭证。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第二十一条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安全使用许可证申请受理后，发证机关应当组织人员对企业提交的申请文件、资料进行审查。对企业提交的文件、资料内容存在疑问，需要到现场核查的，应当指派工作人员对有关内容进行现场核查。工作人员应当如实提出书面核查意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第二十二条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发证机关应当在受理之日起</w:t>
      </w:r>
      <w:r>
        <w:rPr>
          <w:rFonts w:hint="default" w:ascii="Arial" w:hAnsi="Arial" w:cs="Arial" w:eastAsiaTheme="minorEastAsia"/>
          <w:b w:val="0"/>
          <w:i w:val="0"/>
          <w:caps w:val="0"/>
          <w:color w:val="000000"/>
          <w:spacing w:val="0"/>
          <w:kern w:val="0"/>
          <w:sz w:val="21"/>
          <w:szCs w:val="21"/>
          <w:shd w:val="clear" w:fill="FFFFFF"/>
          <w:lang w:val="en-US" w:eastAsia="zh-CN" w:bidi="ar"/>
        </w:rPr>
        <w:t>45</w:t>
      </w:r>
      <w:r>
        <w:rPr>
          <w:rFonts w:hint="eastAsia" w:ascii="宋体" w:hAnsi="宋体" w:eastAsia="宋体" w:cs="宋体"/>
          <w:b w:val="0"/>
          <w:i w:val="0"/>
          <w:caps w:val="0"/>
          <w:color w:val="000000"/>
          <w:spacing w:val="0"/>
          <w:kern w:val="0"/>
          <w:sz w:val="21"/>
          <w:szCs w:val="21"/>
          <w:shd w:val="clear" w:fill="FFFFFF"/>
          <w:lang w:val="en-US" w:eastAsia="zh-CN" w:bidi="ar"/>
        </w:rPr>
        <w:t>日内作出是否准予许可的决定。发证机关现场核查和企业整改有关问题所需时间不计算在本条规定的期限内。</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第二十三条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发证机关作出准予许可的决定的，应当自决定之日起</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个工作日内颁发安全使用许可证。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发证机关作出不予许可的决定的，应当在</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个工作日内书面告知企业并说明理由。</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第二十四条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企业在安全使用许可证有效期内变更主要负责人、企业名称或者注册地址的，应当自工商营业执照变更之日起</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个工作日内提出变更申请，并提交下列文件、资料：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（一）变更申请书；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（二）变更后的工商营业执照副本复制件；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（三）变更主要负责人的，还应当提供主要负责人经安全生产监督管理部门考核合格后颁发的安全资格证复制件；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（四）变更注册地址的，还应当提供相关证明材料。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对已经受理的变更申请，发证机关对企业提交的文件、资料审查无误后，方可办理安全使用许可证变更手续。</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企业在安全使用许可证有效期内变更隶属关系的，应当在隶属关系变更之日起</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日内向发证机关提交证明材料。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第二十五条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企业在安全使用许可证有效期内，有下列情形之一的，发证机关按照本办法第二十条、第二十一条、第二十二条、第二十三条的规定办理变更手续</w:t>
      </w:r>
      <w:r>
        <w:rPr>
          <w:rFonts w:hint="default" w:ascii="Arial" w:hAnsi="Arial" w:cs="Arial" w:eastAsiaTheme="minorEastAsia"/>
          <w:b w:val="0"/>
          <w:i w:val="0"/>
          <w:caps w:val="0"/>
          <w:color w:val="000000"/>
          <w:spacing w:val="0"/>
          <w:kern w:val="0"/>
          <w:sz w:val="21"/>
          <w:szCs w:val="21"/>
          <w:shd w:val="clear" w:fill="FFFFFF"/>
          <w:lang w:val="en-US" w:eastAsia="zh-CN" w:bidi="ar"/>
        </w:rPr>
        <w:t>:</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（一）增加使用的危险化学品品种，且达到危险化学品使用量的数量标准规定的；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（二）涉及危险化学品安全使用许可范围的新建、改建、扩建建设项目的；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（三）改变工艺技术对企业的安全生产条件产生重大影响的。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有本条第一款第一项规定情形的企业，应当在增加前提出变更申请。</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有本条第一款第二项规定情形的企业，应当在建设项目安全设施竣工验收合格之日起</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个工作日内向原发证机关提出变更申请，并提交建设项目安全设施</w:t>
      </w:r>
      <w:r>
        <w:rPr>
          <w:rFonts w:hint="default" w:ascii="Arial" w:hAnsi="Arial" w:cs="Arial" w:eastAsiaTheme="minorEastAsia"/>
          <w:b w:val="0"/>
          <w:i w:val="0"/>
          <w:caps w:val="0"/>
          <w:color w:val="000000"/>
          <w:spacing w:val="0"/>
          <w:kern w:val="0"/>
          <w:sz w:val="21"/>
          <w:szCs w:val="21"/>
          <w:shd w:val="clear" w:fill="FFFFFF"/>
          <w:lang w:val="en-US" w:eastAsia="zh-CN" w:bidi="ar"/>
        </w:rPr>
        <w:t>竣工验收报告</w:t>
      </w:r>
      <w:r>
        <w:rPr>
          <w:rFonts w:hint="eastAsia" w:ascii="宋体" w:hAnsi="宋体" w:eastAsia="宋体" w:cs="宋体"/>
          <w:b w:val="0"/>
          <w:i w:val="0"/>
          <w:caps w:val="0"/>
          <w:color w:val="000000"/>
          <w:spacing w:val="0"/>
          <w:kern w:val="0"/>
          <w:sz w:val="21"/>
          <w:szCs w:val="21"/>
          <w:shd w:val="clear" w:fill="FFFFFF"/>
          <w:lang w:val="en-US" w:eastAsia="zh-CN" w:bidi="ar"/>
        </w:rPr>
        <w:t>等相关文件、资料。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有本条第一款第一项、第三项规定情形的企业，应当进行专项安全验收评价，并对安全评价报告中提出的问题进行整改；在整改完成后，向原发证机关提出变更申请并提交安全验收评价报告。</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第二十六条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安全使用许可证有效期为</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年。企业安全使用许可证有效期届满后需要继续使用危险化学品从事生产、且达到危险化学品使用量的数量标准规定的，应当在安全使用许可证有效期届满前</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个月提出延期申请，并提交本办法第十八条规定的文件、资料。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发证机关按照本办法第二十条、第二十一条、第二十二条、第二十三条的规定进行审查，并作出是否准予延期的决定。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第二十七条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取得安全使用许可证后，符合下列条件的，其安全使用许可证届满办理延期手续时，经原发证机关同意，可以不提交第十八条第一款第二项、第五项、第九项和第十八条第二款规定的文件、资料，直接办理延期手续：</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（一）严格遵守有关法律、法规和本办法的；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（二）取得安全使用许可证后，加强日常安全管理，未降低安全使用条件，并达到安全生产标准化等级二级以上的；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（三）未发生造成人员死亡的生产安全责任事故的。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企业符合本条第一款第二项、第三项规定条件的，应当在延期申请书中予以说明，并出具二级以上安全生产标准化证书复印件。</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第二十八条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安全使用许可证分为正本、副本，正本为悬挂式，副本为折页式，正、副本具有同等法律效力。</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发证机关应当分别在安全使用许可证正、副本上注明编号、企业名称、主要负责人、注册地址、经济类型、许可范围、有效期、发证机关、发证日期等内容。其中，“许可范围”正本上注明“危险化学品使用”，副本上注明使用危险化学品从事生产的地址和对应的具体品种、年使用量。</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第二十九条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企业不得伪造、变造安全使用许可证，或者出租、出借、转让其取得的安全使用许可证，或者使用伪造、变造的安全使用许可证。</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第五章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监督管理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发证机关应当坚持公开、公平、公正的原则，依照本办法和有关行政许可的法律法规规定，颁发安全使用许可证。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发证机关工作人员在安全使用许可证颁发及其监督管理工作中，不得索取或者接受企业的财物，不得谋取其他非法利益。</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第三十一条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发证机关应当加强对安全使用许可证的监督管理，建立、健全安全使用许可证档案管理制度。</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第三十二条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有下列情形之一的，发证机关应当撤销已经颁发的安全使用许可证：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（一）滥用职权、玩忽职守颁发安全使用许可证的；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（二）超越职权颁发安全使用许可证的；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（三）违反本办法规定的程序颁发安全使用许可证的；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（四）对不具备申请资格或者不符合法定条件的企业颁发安全生产许可证的；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（五）以欺骗、贿赂等不正当手段取得安全使用许可证的。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第三十三条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企业取得安全使用许可证后有下列情形之一的，发证机关应当注销其安全使用许可证：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（一）安全使用许可证有效期届满未被批准延期的；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（二）终止使用危险化学品从事生产的；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（三）继续使用危险化学品从事生产，但使用量降低后未达到危险化学品使用量的数量标准规定的；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（四）安全使用许可证被依法撤销的；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（五）安全使用许可证被依法吊销的。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安全使用许可证注销后，发证机关应当在当地主要新闻媒体或者本机关网站上予以公告，并向省级和企业所在地县级安全生产监督管理部门通报。</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第三十四条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发证机关应当将其颁发安全使用许可证的情况及时向同级环境保护主管部门和公安机关通报。</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第三十五条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发证机关应当于每年</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日前</w:t>
      </w:r>
      <w:r>
        <w:rPr>
          <w:rFonts w:hint="default" w:ascii="Arial" w:hAnsi="Arial" w:cs="Arial" w:eastAsiaTheme="minorEastAsia"/>
          <w:b w:val="0"/>
          <w:i w:val="0"/>
          <w:caps w:val="0"/>
          <w:color w:val="000000"/>
          <w:spacing w:val="0"/>
          <w:kern w:val="0"/>
          <w:sz w:val="21"/>
          <w:szCs w:val="21"/>
          <w:shd w:val="clear" w:fill="FFFFFF"/>
          <w:lang w:val="en-US" w:eastAsia="zh-CN" w:bidi="ar"/>
        </w:rPr>
        <w:t>,</w:t>
      </w:r>
      <w:r>
        <w:rPr>
          <w:rFonts w:hint="eastAsia" w:ascii="宋体" w:hAnsi="宋体" w:eastAsia="宋体" w:cs="宋体"/>
          <w:b w:val="0"/>
          <w:i w:val="0"/>
          <w:caps w:val="0"/>
          <w:color w:val="000000"/>
          <w:spacing w:val="0"/>
          <w:kern w:val="0"/>
          <w:sz w:val="21"/>
          <w:szCs w:val="21"/>
          <w:shd w:val="clear" w:fill="FFFFFF"/>
          <w:lang w:val="en-US" w:eastAsia="zh-CN" w:bidi="ar"/>
        </w:rPr>
        <w:t>将本行政区域内上年度安全使用许可证的颁发和管理情况报省级安全生产监督管理部门，并定期向社会公布企业取得安全使用许可证的情况，接受社会监督。</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省级安全生产监督管理部门应当于每年</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15</w:t>
      </w:r>
      <w:r>
        <w:rPr>
          <w:rFonts w:hint="eastAsia" w:ascii="宋体" w:hAnsi="宋体" w:eastAsia="宋体" w:cs="宋体"/>
          <w:b w:val="0"/>
          <w:i w:val="0"/>
          <w:caps w:val="0"/>
          <w:color w:val="000000"/>
          <w:spacing w:val="0"/>
          <w:kern w:val="0"/>
          <w:sz w:val="21"/>
          <w:szCs w:val="21"/>
          <w:shd w:val="clear" w:fill="FFFFFF"/>
          <w:lang w:val="en-US" w:eastAsia="zh-CN" w:bidi="ar"/>
        </w:rPr>
        <w:t>日前</w:t>
      </w:r>
      <w:r>
        <w:rPr>
          <w:rFonts w:hint="default" w:ascii="Arial" w:hAnsi="Arial" w:cs="Arial" w:eastAsiaTheme="minorEastAsia"/>
          <w:b w:val="0"/>
          <w:i w:val="0"/>
          <w:caps w:val="0"/>
          <w:color w:val="000000"/>
          <w:spacing w:val="0"/>
          <w:kern w:val="0"/>
          <w:sz w:val="21"/>
          <w:szCs w:val="21"/>
          <w:shd w:val="clear" w:fill="FFFFFF"/>
          <w:lang w:val="en-US" w:eastAsia="zh-CN" w:bidi="ar"/>
        </w:rPr>
        <w:t>,</w:t>
      </w:r>
      <w:r>
        <w:rPr>
          <w:rFonts w:hint="eastAsia" w:ascii="宋体" w:hAnsi="宋体" w:eastAsia="宋体" w:cs="宋体"/>
          <w:b w:val="0"/>
          <w:i w:val="0"/>
          <w:caps w:val="0"/>
          <w:color w:val="000000"/>
          <w:spacing w:val="0"/>
          <w:kern w:val="0"/>
          <w:sz w:val="21"/>
          <w:szCs w:val="21"/>
          <w:shd w:val="clear" w:fill="FFFFFF"/>
          <w:lang w:val="en-US" w:eastAsia="zh-CN" w:bidi="ar"/>
        </w:rPr>
        <w:t>将本行政区域内上年度安全使用许可证的颁发和管理情况报国家安全生产监督管理总局。</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第六章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法律责任</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第三十六条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发证机关工作人员在对危险化学品使用许可证的颁发管理工作中滥用职权、玩忽职守、徇私舞弊，构成犯罪的，依法追究刑事责任；尚不构成犯罪的，依法给予处分。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第三十七条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企业未取得安全使用许可证，擅自使用危险化学品从事生产，且达到危险化学品使用量的数量标准规定的，责令立即停止违法行为并限期改正，处</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万元以上</w:t>
      </w:r>
      <w:r>
        <w:rPr>
          <w:rFonts w:hint="default" w:ascii="Arial" w:hAnsi="Arial" w:cs="Arial" w:eastAsiaTheme="minorEastAsia"/>
          <w:b w:val="0"/>
          <w:i w:val="0"/>
          <w:caps w:val="0"/>
          <w:color w:val="000000"/>
          <w:spacing w:val="0"/>
          <w:kern w:val="0"/>
          <w:sz w:val="21"/>
          <w:szCs w:val="21"/>
          <w:shd w:val="clear" w:fill="FFFFFF"/>
          <w:lang w:val="en-US" w:eastAsia="zh-CN" w:bidi="ar"/>
        </w:rPr>
        <w:t>20</w:t>
      </w:r>
      <w:r>
        <w:rPr>
          <w:rFonts w:hint="eastAsia" w:ascii="宋体" w:hAnsi="宋体" w:eastAsia="宋体" w:cs="宋体"/>
          <w:b w:val="0"/>
          <w:i w:val="0"/>
          <w:caps w:val="0"/>
          <w:color w:val="000000"/>
          <w:spacing w:val="0"/>
          <w:kern w:val="0"/>
          <w:sz w:val="21"/>
          <w:szCs w:val="21"/>
          <w:shd w:val="clear" w:fill="FFFFFF"/>
          <w:lang w:val="en-US" w:eastAsia="zh-CN" w:bidi="ar"/>
        </w:rPr>
        <w:t>万元以下的罚款；逾期不改正的，责令停产整顿。</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企业在安全使用许可证有效期届满后未办理延期手续，仍然使用危险化学品从事生产，且达到危险化学品使用量的数量标准规定的，依照前款规定给予处罚。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第三十八条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企业伪造、变造或者出租、出借、转让安全使用许可证，或者使用伪造、变造的安全使用许可证的，处</w:t>
      </w:r>
      <w:r>
        <w:rPr>
          <w:rFonts w:hint="default" w:ascii="Arial" w:hAnsi="Arial" w:cs="Arial" w:eastAsiaTheme="minorEastAsia"/>
          <w:b w:val="0"/>
          <w:i w:val="0"/>
          <w:caps w:val="0"/>
          <w:color w:val="000000"/>
          <w:spacing w:val="0"/>
          <w:kern w:val="0"/>
          <w:sz w:val="21"/>
          <w:szCs w:val="21"/>
          <w:shd w:val="clear" w:fill="FFFFFF"/>
          <w:lang w:val="en-US" w:eastAsia="zh-CN" w:bidi="ar"/>
        </w:rPr>
        <w:t>10</w:t>
      </w:r>
      <w:r>
        <w:rPr>
          <w:rFonts w:hint="eastAsia" w:ascii="宋体" w:hAnsi="宋体" w:eastAsia="宋体" w:cs="宋体"/>
          <w:b w:val="0"/>
          <w:i w:val="0"/>
          <w:caps w:val="0"/>
          <w:color w:val="000000"/>
          <w:spacing w:val="0"/>
          <w:kern w:val="0"/>
          <w:sz w:val="21"/>
          <w:szCs w:val="21"/>
          <w:shd w:val="clear" w:fill="FFFFFF"/>
          <w:lang w:val="en-US" w:eastAsia="zh-CN" w:bidi="ar"/>
        </w:rPr>
        <w:t>万元以上</w:t>
      </w:r>
      <w:r>
        <w:rPr>
          <w:rFonts w:hint="default" w:ascii="Arial" w:hAnsi="Arial" w:cs="Arial" w:eastAsiaTheme="minorEastAsia"/>
          <w:b w:val="0"/>
          <w:i w:val="0"/>
          <w:caps w:val="0"/>
          <w:color w:val="000000"/>
          <w:spacing w:val="0"/>
          <w:kern w:val="0"/>
          <w:sz w:val="21"/>
          <w:szCs w:val="21"/>
          <w:shd w:val="clear" w:fill="FFFFFF"/>
          <w:lang w:val="en-US" w:eastAsia="zh-CN" w:bidi="ar"/>
        </w:rPr>
        <w:t>20</w:t>
      </w:r>
      <w:r>
        <w:rPr>
          <w:rFonts w:hint="eastAsia" w:ascii="宋体" w:hAnsi="宋体" w:eastAsia="宋体" w:cs="宋体"/>
          <w:b w:val="0"/>
          <w:i w:val="0"/>
          <w:caps w:val="0"/>
          <w:color w:val="000000"/>
          <w:spacing w:val="0"/>
          <w:kern w:val="0"/>
          <w:sz w:val="21"/>
          <w:szCs w:val="21"/>
          <w:shd w:val="clear" w:fill="FFFFFF"/>
          <w:lang w:val="en-US" w:eastAsia="zh-CN" w:bidi="ar"/>
        </w:rPr>
        <w:t>万元以下的罚款，有违法所得的，没收违法所得；构成违反治安管理行为的，依法给予治安管理处罚；构成犯罪的，依法追究刑事责任。</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第三十九条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内主要负责人、企业名称、注册地址、隶属关系发生变更，未按照本办法第二十四条规定的时限提出安全使用许可证变更申请或者将隶属关系变更证明材料报发证机关的，责令限期办理变更手续，处</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万元以上</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万元以下的罚款。</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企业在安全使用许可证有效期内有下列情形之一，未按照本办法第二十五条的规定提出变更申请，继续从事生产的，责令限期改正，处</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万元以上</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万元以下的罚款：</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（一）增加使用的危险化学品品种，且达到危险化学品使用量的数量标准规定的；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（二）涉及危险化学品安全使用许可范围的新建、改建、扩建建设项目，其安全设施已经竣工验收合格的；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（三）改变工艺技术对企业的安全生产条件产生重大影响的。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第四十一条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发现企业隐瞒有关情况或者提供虚假文件、资料申请安全使用许可证的，发证机关不予受理或者不予颁发安全使用许可证，并给予警告，该企业在</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年内不得再次申请安全使用许可证。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企业以欺骗、贿赂等不正当手段取得安全使用许可证的，自发证机关撤销其安全使用许可证之日起</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年内，该企业不得再次申请安全使用许可证。</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第四十二条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安全评价机构有下列情形之一的，给予警告，并处</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万元以下的罚款；情节严重的，暂停资质</w:t>
      </w:r>
      <w:r>
        <w:rPr>
          <w:rFonts w:hint="default" w:ascii="Arial" w:hAnsi="Arial" w:cs="Arial" w:eastAsiaTheme="minorEastAsia"/>
          <w:b w:val="0"/>
          <w:i w:val="0"/>
          <w:caps w:val="0"/>
          <w:color w:val="000000"/>
          <w:spacing w:val="0"/>
          <w:kern w:val="0"/>
          <w:sz w:val="21"/>
          <w:szCs w:val="21"/>
          <w:shd w:val="clear" w:fill="FFFFFF"/>
          <w:lang w:val="en-US" w:eastAsia="zh-CN" w:bidi="ar"/>
        </w:rPr>
        <w:t>6</w:t>
      </w:r>
      <w:r>
        <w:rPr>
          <w:rFonts w:hint="eastAsia" w:ascii="宋体" w:hAnsi="宋体" w:eastAsia="宋体" w:cs="宋体"/>
          <w:b w:val="0"/>
          <w:i w:val="0"/>
          <w:caps w:val="0"/>
          <w:color w:val="000000"/>
          <w:spacing w:val="0"/>
          <w:kern w:val="0"/>
          <w:sz w:val="21"/>
          <w:szCs w:val="21"/>
          <w:shd w:val="clear" w:fill="FFFFFF"/>
          <w:lang w:val="en-US" w:eastAsia="zh-CN" w:bidi="ar"/>
        </w:rPr>
        <w:t>个月，并处</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万元以上</w:t>
      </w:r>
      <w:r>
        <w:rPr>
          <w:rFonts w:hint="default" w:ascii="Arial" w:hAnsi="Arial" w:cs="Arial" w:eastAsiaTheme="minorEastAsia"/>
          <w:b w:val="0"/>
          <w:i w:val="0"/>
          <w:caps w:val="0"/>
          <w:color w:val="000000"/>
          <w:spacing w:val="0"/>
          <w:kern w:val="0"/>
          <w:sz w:val="21"/>
          <w:szCs w:val="21"/>
          <w:shd w:val="clear" w:fill="FFFFFF"/>
          <w:lang w:val="en-US" w:eastAsia="zh-CN" w:bidi="ar"/>
        </w:rPr>
        <w:t>3</w:t>
      </w:r>
      <w:r>
        <w:rPr>
          <w:rFonts w:hint="eastAsia" w:ascii="宋体" w:hAnsi="宋体" w:eastAsia="宋体" w:cs="宋体"/>
          <w:b w:val="0"/>
          <w:i w:val="0"/>
          <w:caps w:val="0"/>
          <w:color w:val="000000"/>
          <w:spacing w:val="0"/>
          <w:kern w:val="0"/>
          <w:sz w:val="21"/>
          <w:szCs w:val="21"/>
          <w:shd w:val="clear" w:fill="FFFFFF"/>
          <w:lang w:val="en-US" w:eastAsia="zh-CN" w:bidi="ar"/>
        </w:rPr>
        <w:t>万元以下的罚款；对相关责任人依法给予处理：</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（一）从业人员不到现场开展安全评价活动的；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（二）安全评价报告与实际情况不符，或者安全评价报告存在重大疏漏，但尚未造成重大损失的；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（三）未按照有关法律、法规、规章和国家标准或者行业标准的规定从事安全评价活动的。</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第四十三条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承担安全评价的机构出具虚假证明的，没收违法所得；违法所得在１０万元以上的，并处违法所得２倍以上５倍以下的罚款；没有违法所得或者违法所得不足１０万元的，单处或者并处１０万元以上２０万元以下的罚款；对其直接负责的主管人员和其他直接责任人员处２万元以上５万元以下的罚款；给他人造成损害的，与企业承担连带赔偿责任；构成犯罪的，依照刑法有关规定追究刑事责任。</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对有前款违法行为的机构，依法吊销其相应资质。</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第四十四条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本办法规定的行政处罚，由安全生产监督管理部门决定；但本办法第三十八条规定的行政处罚，由发证机关决定；第四十二条、第四十三条规定的行政处罚，依照《安全评价机构管理规定》执行。</w:t>
      </w:r>
    </w:p>
    <w:p>
      <w:pPr>
        <w:keepNext w:val="0"/>
        <w:keepLines w:val="0"/>
        <w:widowControl/>
        <w:suppressLineNumbers w:val="0"/>
        <w:shd w:val="clear" w:fill="FFFFFF"/>
        <w:spacing w:before="0" w:beforeAutospacing="0" w:after="312" w:afterAutospacing="0" w:line="380" w:lineRule="atLeast"/>
        <w:ind w:left="0" w:right="0" w:firstLine="422"/>
        <w:jc w:val="center"/>
        <w:rPr>
          <w:rFonts w:hint="default" w:ascii="Arial" w:hAnsi="Arial" w:cs="Arial"/>
          <w:b w:val="0"/>
          <w:i w:val="0"/>
          <w:caps w:val="0"/>
          <w:color w:val="000000"/>
          <w:spacing w:val="0"/>
          <w:sz w:val="21"/>
          <w:szCs w:val="21"/>
        </w:rPr>
      </w:pPr>
      <w:r>
        <w:rPr>
          <w:rFonts w:hint="eastAsia" w:ascii="宋体" w:hAnsi="宋体" w:eastAsia="宋体" w:cs="宋体"/>
          <w:b/>
          <w:i w:val="0"/>
          <w:caps w:val="0"/>
          <w:color w:val="000000"/>
          <w:spacing w:val="0"/>
          <w:kern w:val="0"/>
          <w:sz w:val="21"/>
          <w:szCs w:val="21"/>
          <w:shd w:val="clear" w:fill="FFFFFF"/>
          <w:lang w:val="en-US" w:eastAsia="zh-CN" w:bidi="ar"/>
        </w:rPr>
        <w:t>第七章</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附</w:t>
      </w:r>
      <w:r>
        <w:rPr>
          <w:rFonts w:hint="default" w:ascii="Arial" w:hAnsi="Arial" w:cs="Arial" w:eastAsiaTheme="minorEastAsia"/>
          <w:b/>
          <w:i w:val="0"/>
          <w:caps w:val="0"/>
          <w:color w:val="000000"/>
          <w:spacing w:val="0"/>
          <w:kern w:val="0"/>
          <w:sz w:val="21"/>
          <w:szCs w:val="21"/>
          <w:shd w:val="clear" w:fill="FFFFFF"/>
          <w:lang w:val="en-US" w:eastAsia="zh-CN" w:bidi="ar"/>
        </w:rPr>
        <w:t> </w:t>
      </w:r>
      <w:r>
        <w:rPr>
          <w:rFonts w:hint="eastAsia" w:ascii="宋体" w:hAnsi="宋体" w:eastAsia="宋体" w:cs="宋体"/>
          <w:b/>
          <w:i w:val="0"/>
          <w:caps w:val="0"/>
          <w:color w:val="000000"/>
          <w:spacing w:val="0"/>
          <w:kern w:val="0"/>
          <w:sz w:val="21"/>
          <w:szCs w:val="21"/>
          <w:shd w:val="clear" w:fill="FFFFFF"/>
          <w:lang w:val="en-US" w:eastAsia="zh-CN" w:bidi="ar"/>
        </w:rPr>
        <w:t>则</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第四十五条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本办法下列用语的含义：</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（一）危险化学品安全使用许可适用行业目录，是指国家安全生产监督管理总局根据《危险化学品安全管理条例》和有关国家标准、行业标准公布的需要取得危险化学品安全使用许可的化工企业类别；</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（二）危险化学品使用量的数量标准，由国家安全生产监督管理总局会同国务院公安部门、农业主管部门根据《危险化学品安全管理条例》公布；</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（三）本办法所称使用量，是指企业使用危险化学品的年设计使用量和实际使用量的较大值；</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（四）本办法所称大型化工装置，是指按照原建设部《工程设计资质标准》（建市〔</w:t>
      </w:r>
      <w:r>
        <w:rPr>
          <w:rFonts w:hint="default" w:ascii="Arial" w:hAnsi="Arial" w:cs="Arial" w:eastAsiaTheme="minorEastAsia"/>
          <w:b w:val="0"/>
          <w:i w:val="0"/>
          <w:caps w:val="0"/>
          <w:color w:val="000000"/>
          <w:spacing w:val="0"/>
          <w:kern w:val="0"/>
          <w:sz w:val="21"/>
          <w:szCs w:val="21"/>
          <w:shd w:val="clear" w:fill="FFFFFF"/>
          <w:lang w:val="en-US" w:eastAsia="zh-CN" w:bidi="ar"/>
        </w:rPr>
        <w:t>2007</w:t>
      </w:r>
      <w:r>
        <w:rPr>
          <w:rFonts w:hint="eastAsia" w:ascii="宋体" w:hAnsi="宋体" w:eastAsia="宋体" w:cs="宋体"/>
          <w:b w:val="0"/>
          <w:i w:val="0"/>
          <w:caps w:val="0"/>
          <w:color w:val="000000"/>
          <w:spacing w:val="0"/>
          <w:kern w:val="0"/>
          <w:sz w:val="21"/>
          <w:szCs w:val="21"/>
          <w:shd w:val="clear" w:fill="FFFFFF"/>
          <w:lang w:val="en-US" w:eastAsia="zh-CN" w:bidi="ar"/>
        </w:rPr>
        <w:t>〕</w:t>
      </w:r>
      <w:r>
        <w:rPr>
          <w:rFonts w:hint="default" w:ascii="Arial" w:hAnsi="Arial" w:cs="Arial" w:eastAsiaTheme="minorEastAsia"/>
          <w:b w:val="0"/>
          <w:i w:val="0"/>
          <w:caps w:val="0"/>
          <w:color w:val="000000"/>
          <w:spacing w:val="0"/>
          <w:kern w:val="0"/>
          <w:sz w:val="21"/>
          <w:szCs w:val="21"/>
          <w:shd w:val="clear" w:fill="FFFFFF"/>
          <w:lang w:val="en-US" w:eastAsia="zh-CN" w:bidi="ar"/>
        </w:rPr>
        <w:t>86</w:t>
      </w:r>
      <w:r>
        <w:rPr>
          <w:rFonts w:hint="eastAsia" w:ascii="宋体" w:hAnsi="宋体" w:eastAsia="宋体" w:cs="宋体"/>
          <w:b w:val="0"/>
          <w:i w:val="0"/>
          <w:caps w:val="0"/>
          <w:color w:val="000000"/>
          <w:spacing w:val="0"/>
          <w:kern w:val="0"/>
          <w:sz w:val="21"/>
          <w:szCs w:val="21"/>
          <w:shd w:val="clear" w:fill="FFFFFF"/>
          <w:lang w:val="en-US" w:eastAsia="zh-CN" w:bidi="ar"/>
        </w:rPr>
        <w:t>号）中的《化工石化医药行业建设项目设计规模划分表》确定的大型项目的化工生产装置。</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第四十六条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危险化学品安全使用许可的文书、危险化学品安全使用许可证的样式、内容和编号办法，由国家安全生产监督管理总局另行规定。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第四十七条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省级安全生产监督管理部门可以根据当地实际情况制定安全使用许可证管理的细则，并报国家安全生产监督管理总局备案。</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第四十八条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本办法施行前已经进行生产的企业，应当自本办法施行之日起</w:t>
      </w:r>
      <w:r>
        <w:rPr>
          <w:rFonts w:hint="default" w:ascii="Arial" w:hAnsi="Arial" w:cs="Arial" w:eastAsiaTheme="minorEastAsia"/>
          <w:b w:val="0"/>
          <w:i w:val="0"/>
          <w:caps w:val="0"/>
          <w:color w:val="000000"/>
          <w:spacing w:val="0"/>
          <w:kern w:val="0"/>
          <w:sz w:val="21"/>
          <w:szCs w:val="21"/>
          <w:shd w:val="clear" w:fill="FFFFFF"/>
          <w:lang w:val="en-US" w:eastAsia="zh-CN" w:bidi="ar"/>
        </w:rPr>
        <w:t>18</w:t>
      </w:r>
      <w:r>
        <w:rPr>
          <w:rFonts w:hint="eastAsia" w:ascii="宋体" w:hAnsi="宋体" w:eastAsia="宋体" w:cs="宋体"/>
          <w:b w:val="0"/>
          <w:i w:val="0"/>
          <w:caps w:val="0"/>
          <w:color w:val="000000"/>
          <w:spacing w:val="0"/>
          <w:kern w:val="0"/>
          <w:sz w:val="21"/>
          <w:szCs w:val="21"/>
          <w:shd w:val="clear" w:fill="FFFFFF"/>
          <w:lang w:val="en-US" w:eastAsia="zh-CN" w:bidi="ar"/>
        </w:rPr>
        <w:t>个月内，依照本办法的规定向发证机关申请办理安全使用许可证；逾期不申请办理安全使用许可证，或者经审查不符合本办法规定的安全使用条件，未取得安全使用许可证，继续进行生产的，依照本办法第三十七条的规定处罚。</w:t>
      </w:r>
    </w:p>
    <w:p>
      <w:pPr>
        <w:keepNext w:val="0"/>
        <w:keepLines w:val="0"/>
        <w:widowControl/>
        <w:suppressLineNumbers w:val="0"/>
        <w:shd w:val="clear" w:fill="FFFFFF"/>
        <w:spacing w:before="0" w:beforeAutospacing="0" w:after="312" w:afterAutospacing="0" w:line="380" w:lineRule="atLeast"/>
        <w:ind w:left="0" w:right="0" w:firstLine="420"/>
        <w:jc w:val="left"/>
        <w:rPr>
          <w:rFonts w:hint="default" w:ascii="Arial" w:hAnsi="Arial" w:cs="Arial"/>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fill="FFFFFF"/>
          <w:lang w:val="en-US" w:eastAsia="zh-CN" w:bidi="ar"/>
        </w:rPr>
        <w:t>第四十九条</w:t>
      </w:r>
      <w:r>
        <w:rPr>
          <w:rFonts w:hint="default" w:ascii="Arial" w:hAnsi="Arial" w:cs="Arial" w:eastAsiaTheme="minorEastAsia"/>
          <w:b w:val="0"/>
          <w:i w:val="0"/>
          <w:caps w:val="0"/>
          <w:color w:val="000000"/>
          <w:spacing w:val="0"/>
          <w:kern w:val="0"/>
          <w:sz w:val="21"/>
          <w:szCs w:val="21"/>
          <w:shd w:val="clear" w:fill="FFFFFF"/>
          <w:lang w:val="en-US" w:eastAsia="zh-CN" w:bidi="ar"/>
        </w:rPr>
        <w:t> </w:t>
      </w:r>
      <w:r>
        <w:rPr>
          <w:rFonts w:hint="eastAsia" w:ascii="宋体" w:hAnsi="宋体" w:eastAsia="宋体" w:cs="宋体"/>
          <w:b w:val="0"/>
          <w:i w:val="0"/>
          <w:caps w:val="0"/>
          <w:color w:val="000000"/>
          <w:spacing w:val="0"/>
          <w:kern w:val="0"/>
          <w:sz w:val="21"/>
          <w:szCs w:val="21"/>
          <w:shd w:val="clear" w:fill="FFFFFF"/>
          <w:lang w:val="en-US" w:eastAsia="zh-CN" w:bidi="ar"/>
        </w:rPr>
        <w:t>本办法自</w:t>
      </w:r>
      <w:r>
        <w:rPr>
          <w:rFonts w:hint="default" w:ascii="Arial" w:hAnsi="Arial" w:cs="Arial" w:eastAsiaTheme="minorEastAsia"/>
          <w:b w:val="0"/>
          <w:i w:val="0"/>
          <w:caps w:val="0"/>
          <w:color w:val="000000"/>
          <w:spacing w:val="0"/>
          <w:kern w:val="0"/>
          <w:sz w:val="21"/>
          <w:szCs w:val="21"/>
          <w:shd w:val="clear" w:fill="FFFFFF"/>
          <w:lang w:val="en-US" w:eastAsia="zh-CN" w:bidi="ar"/>
        </w:rPr>
        <w:t>2013</w:t>
      </w:r>
      <w:r>
        <w:rPr>
          <w:rFonts w:hint="eastAsia" w:ascii="宋体" w:hAnsi="宋体" w:eastAsia="宋体" w:cs="宋体"/>
          <w:b w:val="0"/>
          <w:i w:val="0"/>
          <w:caps w:val="0"/>
          <w:color w:val="000000"/>
          <w:spacing w:val="0"/>
          <w:kern w:val="0"/>
          <w:sz w:val="21"/>
          <w:szCs w:val="21"/>
          <w:shd w:val="clear" w:fill="FFFFFF"/>
          <w:lang w:val="en-US" w:eastAsia="zh-CN" w:bidi="ar"/>
        </w:rPr>
        <w:t>年</w:t>
      </w:r>
      <w:r>
        <w:rPr>
          <w:rFonts w:hint="default" w:ascii="Arial" w:hAnsi="Arial" w:cs="Arial" w:eastAsiaTheme="minorEastAsia"/>
          <w:b w:val="0"/>
          <w:i w:val="0"/>
          <w:caps w:val="0"/>
          <w:color w:val="000000"/>
          <w:spacing w:val="0"/>
          <w:kern w:val="0"/>
          <w:sz w:val="21"/>
          <w:szCs w:val="21"/>
          <w:shd w:val="clear" w:fill="FFFFFF"/>
          <w:lang w:val="en-US" w:eastAsia="zh-CN" w:bidi="ar"/>
        </w:rPr>
        <w:t>5</w:t>
      </w:r>
      <w:r>
        <w:rPr>
          <w:rFonts w:hint="eastAsia" w:ascii="宋体" w:hAnsi="宋体" w:eastAsia="宋体" w:cs="宋体"/>
          <w:b w:val="0"/>
          <w:i w:val="0"/>
          <w:caps w:val="0"/>
          <w:color w:val="000000"/>
          <w:spacing w:val="0"/>
          <w:kern w:val="0"/>
          <w:sz w:val="21"/>
          <w:szCs w:val="21"/>
          <w:shd w:val="clear" w:fill="FFFFFF"/>
          <w:lang w:val="en-US" w:eastAsia="zh-CN" w:bidi="ar"/>
        </w:rPr>
        <w:t>月</w:t>
      </w:r>
      <w:r>
        <w:rPr>
          <w:rFonts w:hint="default" w:ascii="Arial" w:hAnsi="Arial" w:cs="Arial" w:eastAsiaTheme="minorEastAsia"/>
          <w:b w:val="0"/>
          <w:i w:val="0"/>
          <w:caps w:val="0"/>
          <w:color w:val="000000"/>
          <w:spacing w:val="0"/>
          <w:kern w:val="0"/>
          <w:sz w:val="21"/>
          <w:szCs w:val="21"/>
          <w:shd w:val="clear" w:fill="FFFFFF"/>
          <w:lang w:val="en-US" w:eastAsia="zh-CN" w:bidi="ar"/>
        </w:rPr>
        <w:t>1</w:t>
      </w:r>
      <w:r>
        <w:rPr>
          <w:rFonts w:hint="eastAsia" w:ascii="宋体" w:hAnsi="宋体" w:eastAsia="宋体" w:cs="宋体"/>
          <w:b w:val="0"/>
          <w:i w:val="0"/>
          <w:caps w:val="0"/>
          <w:color w:val="000000"/>
          <w:spacing w:val="0"/>
          <w:kern w:val="0"/>
          <w:sz w:val="21"/>
          <w:szCs w:val="21"/>
          <w:shd w:val="clear" w:fill="FFFFFF"/>
          <w:lang w:val="en-US" w:eastAsia="zh-CN" w:bidi="ar"/>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楷体_gb2312">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2C0498"/>
    <w:rsid w:val="7E2C049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2017-04-10T03:48:00Z</dcterms:created>
  <dc:creator>lufei</dc:creator>
  <cp:lastModifiedBy>lufei</cp:lastModifiedBy>
  <dcterms:modified xsi:type="dcterms:W3CDTF">2017-04-10T03:48:49Z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